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48423" w14:textId="50ADA233" w:rsidR="00161360" w:rsidRDefault="00B457A3" w:rsidP="00884406">
      <w:pPr>
        <w:spacing w:before="600" w:after="200"/>
        <w:rPr>
          <w:rFonts w:ascii="Archivo ExtraLight" w:hAnsi="Archivo ExtraLight" w:cs="Archivo ExtraLight"/>
          <w:b/>
          <w:bCs/>
          <w:color w:val="35506B"/>
          <w:sz w:val="22"/>
          <w:szCs w:val="22"/>
        </w:rPr>
      </w:pPr>
      <w:r>
        <w:rPr>
          <w:noProof/>
        </w:rPr>
        <w:drawing>
          <wp:anchor distT="0" distB="0" distL="114300" distR="114300" simplePos="0" relativeHeight="251658240" behindDoc="1" locked="0" layoutInCell="1" allowOverlap="1" wp14:anchorId="563E90FE" wp14:editId="6CC6F1BE">
            <wp:simplePos x="0" y="0"/>
            <wp:positionH relativeFrom="page">
              <wp:align>right</wp:align>
            </wp:positionH>
            <wp:positionV relativeFrom="paragraph">
              <wp:posOffset>-1480820</wp:posOffset>
            </wp:positionV>
            <wp:extent cx="7559040" cy="10698480"/>
            <wp:effectExtent l="0" t="0" r="3810" b="762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9040" cy="106984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5F6C22" w14:textId="2B3FFBDA" w:rsidR="00161360" w:rsidRDefault="00161360">
      <w:pPr>
        <w:rPr>
          <w:rFonts w:ascii="Archivo ExtraLight" w:hAnsi="Archivo ExtraLight" w:cs="Archivo ExtraLight"/>
          <w:b/>
          <w:bCs/>
          <w:color w:val="35506B"/>
          <w:sz w:val="22"/>
          <w:szCs w:val="22"/>
        </w:rPr>
      </w:pPr>
      <w:r>
        <w:rPr>
          <w:rFonts w:ascii="Archivo ExtraLight" w:hAnsi="Archivo ExtraLight" w:cs="Archivo ExtraLight"/>
          <w:b/>
          <w:bCs/>
          <w:color w:val="35506B"/>
          <w:sz w:val="22"/>
          <w:szCs w:val="22"/>
        </w:rPr>
        <w:br w:type="page"/>
      </w:r>
    </w:p>
    <w:p w14:paraId="7A5CD404" w14:textId="10AE366C" w:rsidR="00B457A3" w:rsidRPr="00C0342B" w:rsidRDefault="00B457A3" w:rsidP="00B457A3">
      <w:pPr>
        <w:pStyle w:val="NormalWeb"/>
        <w:rPr>
          <w:color w:val="040C55"/>
        </w:rPr>
      </w:pPr>
    </w:p>
    <w:p w14:paraId="75C0450E" w14:textId="780E36F6" w:rsidR="004E3CAC" w:rsidRPr="00C0342B" w:rsidRDefault="00997BC4" w:rsidP="00AC143E">
      <w:pPr>
        <w:spacing w:before="600" w:after="200"/>
        <w:jc w:val="center"/>
        <w:rPr>
          <w:rFonts w:ascii="Archivo ExtraLight" w:hAnsi="Archivo ExtraLight" w:cs="Archivo ExtraLight"/>
          <w:b/>
          <w:bCs/>
          <w:color w:val="040C55"/>
          <w:sz w:val="22"/>
          <w:szCs w:val="22"/>
        </w:rPr>
      </w:pPr>
      <w:r w:rsidRPr="00C0342B">
        <w:rPr>
          <w:rFonts w:ascii="Archivo ExtraLight" w:hAnsi="Archivo ExtraLight" w:cs="Archivo ExtraLight"/>
          <w:b/>
          <w:bCs/>
          <w:color w:val="040C55"/>
          <w:sz w:val="22"/>
          <w:szCs w:val="22"/>
        </w:rPr>
        <w:t>PROTOCOLO MARCO PARA LA SEDACIÓN PROFUNDA CON PROPOFOL</w:t>
      </w:r>
      <w:r w:rsidRPr="00C0342B">
        <w:rPr>
          <w:rFonts w:ascii="Archivo ExtraLight" w:hAnsi="Archivo ExtraLight" w:cs="Archivo ExtraLight"/>
          <w:b/>
          <w:bCs/>
          <w:color w:val="040C55"/>
          <w:sz w:val="22"/>
          <w:szCs w:val="22"/>
        </w:rPr>
        <w:t xml:space="preserve"> </w:t>
      </w:r>
      <w:r w:rsidRPr="00C0342B">
        <w:rPr>
          <w:rFonts w:ascii="Archivo ExtraLight" w:hAnsi="Archivo ExtraLight" w:cs="Archivo ExtraLight"/>
          <w:b/>
          <w:bCs/>
          <w:color w:val="040C55"/>
          <w:sz w:val="22"/>
          <w:szCs w:val="22"/>
        </w:rPr>
        <w:t>ADMINISTRADA POR EL EQUIPO DE ENDOSCOPIAS</w:t>
      </w:r>
    </w:p>
    <w:p w14:paraId="6C26142F" w14:textId="77777777" w:rsidR="004E3CAC" w:rsidRPr="00161360" w:rsidRDefault="00997BC4">
      <w:pPr>
        <w:spacing w:after="100"/>
        <w:rPr>
          <w:rFonts w:ascii="Archivo ExtraLight" w:hAnsi="Archivo ExtraLight" w:cs="Archivo ExtraLight"/>
          <w:sz w:val="22"/>
          <w:szCs w:val="22"/>
        </w:rPr>
      </w:pPr>
      <w:r w:rsidRPr="00161360">
        <w:rPr>
          <w:rFonts w:ascii="Archivo ExtraLight" w:hAnsi="Archivo ExtraLight" w:cs="Archivo ExtraLight"/>
          <w:i/>
          <w:iCs/>
          <w:sz w:val="22"/>
          <w:szCs w:val="22"/>
        </w:rPr>
        <w:t>Plantilla de adaptación para unidades de endoscopia digestiva</w:t>
      </w:r>
    </w:p>
    <w:p w14:paraId="0BE130B6" w14:textId="77777777" w:rsidR="00884406" w:rsidRPr="00161360" w:rsidRDefault="00884406">
      <w:pPr>
        <w:spacing w:after="100"/>
        <w:rPr>
          <w:rFonts w:ascii="Archivo ExtraLight" w:hAnsi="Archivo ExtraLight" w:cs="Archivo ExtraLight"/>
          <w:color w:val="5A5A5A"/>
          <w:sz w:val="22"/>
          <w:szCs w:val="22"/>
        </w:rPr>
      </w:pPr>
    </w:p>
    <w:p w14:paraId="59165D4E" w14:textId="77777777" w:rsidR="004E3CAC" w:rsidRPr="00161360" w:rsidRDefault="00997BC4">
      <w:pPr>
        <w:spacing w:after="100"/>
        <w:rPr>
          <w:rFonts w:ascii="Archivo ExtraLight" w:hAnsi="Archivo ExtraLight" w:cs="Archivo ExtraLight"/>
          <w:sz w:val="22"/>
          <w:szCs w:val="22"/>
        </w:rPr>
      </w:pPr>
      <w:r w:rsidRPr="00161360">
        <w:rPr>
          <w:rFonts w:ascii="Archivo ExtraLight" w:hAnsi="Archivo ExtraLight" w:cs="Archivo ExtraLight"/>
          <w:sz w:val="22"/>
          <w:szCs w:val="22"/>
        </w:rPr>
        <w:t xml:space="preserve">Unidad / Servicio que adapta este documento: </w:t>
      </w:r>
      <w:r w:rsidRPr="00C0342B">
        <w:rPr>
          <w:rFonts w:ascii="Archivo ExtraLight" w:hAnsi="Archivo ExtraLight" w:cs="Archivo ExtraLight"/>
          <w:i/>
          <w:iCs/>
          <w:color w:val="FFA43A"/>
          <w:sz w:val="22"/>
          <w:szCs w:val="22"/>
        </w:rPr>
        <w:t>[NOMBRE DEL HOSPITAL Y DEL SERVICIO]</w:t>
      </w:r>
    </w:p>
    <w:p w14:paraId="4A06531A" w14:textId="04CD90A9" w:rsidR="004E3CAC" w:rsidRPr="00161360" w:rsidRDefault="00997BC4">
      <w:pPr>
        <w:spacing w:after="600"/>
        <w:rPr>
          <w:rFonts w:ascii="Archivo ExtraLight" w:hAnsi="Archivo ExtraLight" w:cs="Archivo ExtraLight"/>
          <w:sz w:val="22"/>
          <w:szCs w:val="22"/>
        </w:rPr>
      </w:pPr>
      <w:r w:rsidRPr="00161360">
        <w:rPr>
          <w:rFonts w:ascii="Archivo ExtraLight" w:hAnsi="Archivo ExtraLight" w:cs="Archivo ExtraLight"/>
          <w:sz w:val="22"/>
          <w:szCs w:val="22"/>
        </w:rPr>
        <w:t xml:space="preserve">Fecha de adaptación </w:t>
      </w:r>
      <w:proofErr w:type="spellStart"/>
      <w:r w:rsidRPr="00161360">
        <w:rPr>
          <w:rFonts w:ascii="Archivo ExtraLight" w:hAnsi="Archivo ExtraLight" w:cs="Archivo ExtraLight"/>
          <w:sz w:val="22"/>
          <w:szCs w:val="22"/>
        </w:rPr>
        <w:t>lo</w:t>
      </w:r>
      <w:r w:rsidR="00161360" w:rsidRPr="00161360">
        <w:rPr>
          <w:rFonts w:ascii="Archivo ExtraLight" w:hAnsi="Archivo ExtraLight" w:cs="Archivo ExtraLight"/>
          <w:sz w:val="22"/>
          <w:szCs w:val="22"/>
        </w:rPr>
        <w:t>€</w:t>
      </w:r>
      <w:r w:rsidRPr="00161360">
        <w:rPr>
          <w:rFonts w:ascii="Archivo ExtraLight" w:hAnsi="Archivo ExtraLight" w:cs="Archivo ExtraLight"/>
          <w:sz w:val="22"/>
          <w:szCs w:val="22"/>
        </w:rPr>
        <w:t>cal</w:t>
      </w:r>
      <w:proofErr w:type="spellEnd"/>
      <w:r w:rsidRPr="00161360">
        <w:rPr>
          <w:rFonts w:ascii="Archivo ExtraLight" w:hAnsi="Archivo ExtraLight" w:cs="Archivo ExtraLight"/>
          <w:sz w:val="22"/>
          <w:szCs w:val="22"/>
        </w:rPr>
        <w:t xml:space="preserve">: </w:t>
      </w:r>
      <w:r w:rsidRPr="00C0342B">
        <w:rPr>
          <w:rFonts w:ascii="Archivo ExtraLight" w:hAnsi="Archivo ExtraLight" w:cs="Archivo ExtraLight"/>
          <w:i/>
          <w:iCs/>
          <w:color w:val="FFA43A"/>
          <w:sz w:val="22"/>
          <w:szCs w:val="22"/>
        </w:rPr>
        <w:t>[FECHA]</w:t>
      </w:r>
      <w:r w:rsidRPr="00C0342B">
        <w:rPr>
          <w:rFonts w:ascii="Archivo ExtraLight" w:hAnsi="Archivo ExtraLight" w:cs="Archivo ExtraLight"/>
          <w:color w:val="FFA43A"/>
          <w:sz w:val="22"/>
          <w:szCs w:val="22"/>
        </w:rPr>
        <w:t xml:space="preserve">   </w:t>
      </w:r>
      <w:r w:rsidRPr="00161360">
        <w:rPr>
          <w:rFonts w:ascii="Archivo ExtraLight" w:hAnsi="Archivo ExtraLight" w:cs="Archivo ExtraLight"/>
          <w:sz w:val="22"/>
          <w:szCs w:val="22"/>
        </w:rPr>
        <w:t xml:space="preserve">Versión local: </w:t>
      </w:r>
      <w:r w:rsidRPr="00C0342B">
        <w:rPr>
          <w:rFonts w:ascii="Archivo ExtraLight" w:hAnsi="Archivo ExtraLight" w:cs="Archivo ExtraLight"/>
          <w:i/>
          <w:iCs/>
          <w:color w:val="FFA43A"/>
          <w:sz w:val="22"/>
          <w:szCs w:val="22"/>
        </w:rPr>
        <w:t>[</w:t>
      </w:r>
      <w:proofErr w:type="spellStart"/>
      <w:r w:rsidRPr="00C0342B">
        <w:rPr>
          <w:rFonts w:ascii="Archivo ExtraLight" w:hAnsi="Archivo ExtraLight" w:cs="Archivo ExtraLight"/>
          <w:i/>
          <w:iCs/>
          <w:color w:val="FFA43A"/>
          <w:sz w:val="22"/>
          <w:szCs w:val="22"/>
        </w:rPr>
        <w:t>Nº</w:t>
      </w:r>
      <w:proofErr w:type="spellEnd"/>
      <w:r w:rsidRPr="00C0342B">
        <w:rPr>
          <w:rFonts w:ascii="Archivo ExtraLight" w:hAnsi="Archivo ExtraLight" w:cs="Archivo ExtraLight"/>
          <w:i/>
          <w:iCs/>
          <w:color w:val="FFA43A"/>
          <w:sz w:val="22"/>
          <w:szCs w:val="22"/>
        </w:rPr>
        <w:t>]</w:t>
      </w:r>
    </w:p>
    <w:tbl>
      <w:tblPr>
        <w:tblW w:w="9350" w:type="dxa"/>
        <w:tblBorders>
          <w:top w:val="single" w:sz="4" w:space="0" w:color="35506B"/>
          <w:left w:val="single" w:sz="4" w:space="0" w:color="35506B"/>
          <w:bottom w:val="single" w:sz="4" w:space="0" w:color="35506B"/>
          <w:right w:val="single" w:sz="4" w:space="0" w:color="35506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50"/>
      </w:tblGrid>
      <w:tr w:rsidR="004E3CAC" w:rsidRPr="00161360" w14:paraId="48747A11" w14:textId="77777777">
        <w:tc>
          <w:tcPr>
            <w:tcW w:w="9350" w:type="dxa"/>
            <w:shd w:val="clear" w:color="auto" w:fill="EAEEF1"/>
            <w:tcMar>
              <w:top w:w="160" w:type="dxa"/>
              <w:left w:w="180" w:type="dxa"/>
              <w:bottom w:w="160" w:type="dxa"/>
              <w:right w:w="180" w:type="dxa"/>
            </w:tcMar>
          </w:tcPr>
          <w:p w14:paraId="6FAED725" w14:textId="77777777" w:rsidR="004E3CAC" w:rsidRPr="00C0342B" w:rsidRDefault="00997BC4">
            <w:pPr>
              <w:spacing w:after="100"/>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CÓMO USAR ESTA PLANTILLA</w:t>
            </w:r>
          </w:p>
          <w:p w14:paraId="2180AA51" w14:textId="77777777" w:rsidR="004E3CAC" w:rsidRPr="00161360" w:rsidRDefault="00997BC4" w:rsidP="00426BAC">
            <w:pPr>
              <w:spacing w:after="100"/>
              <w:jc w:val="both"/>
              <w:rPr>
                <w:rFonts w:ascii="Archivo ExtraLight" w:hAnsi="Archivo ExtraLight" w:cs="Archivo ExtraLight"/>
                <w:sz w:val="22"/>
                <w:szCs w:val="22"/>
              </w:rPr>
            </w:pPr>
            <w:r w:rsidRPr="00161360">
              <w:rPr>
                <w:rFonts w:ascii="Archivo ExtraLight" w:hAnsi="Archivo ExtraLight" w:cs="Archivo ExtraLight"/>
                <w:sz w:val="22"/>
                <w:szCs w:val="22"/>
              </w:rPr>
              <w:t>Este documento no es un protocolo listo para firmar: es una plantilla de trabajo. Generaliza el protocolo interno de sedación profunda de una unidad de endoscopia digestiva (versión de septiembre de 2026), actualizado con las recomendaciones de la guía ESGE-ESGENA de sedación en endoscopia digestiva (2026), para que cada unidad lo adapte a sus propios recursos, a su organización asistencial y a su normativa autonómica, valorando, cuando proceda, su validación y la colaboración con su Servicio de Anestesiolo</w:t>
            </w:r>
            <w:r w:rsidRPr="00161360">
              <w:rPr>
                <w:rFonts w:ascii="Archivo ExtraLight" w:hAnsi="Archivo ExtraLight" w:cs="Archivo ExtraLight"/>
                <w:sz w:val="22"/>
                <w:szCs w:val="22"/>
              </w:rPr>
              <w:t>gía y con la dirección de su centro.</w:t>
            </w:r>
          </w:p>
          <w:p w14:paraId="6012B346" w14:textId="77777777" w:rsidR="004E3CAC" w:rsidRPr="00161360" w:rsidRDefault="00997BC4" w:rsidP="00426BAC">
            <w:pPr>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Los campos entre corchetes en color </w:t>
            </w:r>
            <w:r w:rsidRPr="00C0342B">
              <w:rPr>
                <w:rFonts w:ascii="Archivo ExtraLight" w:hAnsi="Archivo ExtraLight" w:cs="Archivo ExtraLight"/>
                <w:i/>
                <w:iCs/>
                <w:color w:val="FFA43A"/>
                <w:sz w:val="22"/>
                <w:szCs w:val="22"/>
              </w:rPr>
              <w:t>[así]</w:t>
            </w:r>
            <w:r w:rsidRPr="00C0342B">
              <w:rPr>
                <w:rFonts w:ascii="Archivo ExtraLight" w:hAnsi="Archivo ExtraLight" w:cs="Archivo ExtraLight"/>
                <w:color w:val="FFA43A"/>
                <w:sz w:val="22"/>
                <w:szCs w:val="22"/>
              </w:rPr>
              <w:t xml:space="preserve"> </w:t>
            </w:r>
            <w:r w:rsidRPr="00161360">
              <w:rPr>
                <w:rFonts w:ascii="Archivo ExtraLight" w:hAnsi="Archivo ExtraLight" w:cs="Archivo ExtraLight"/>
                <w:sz w:val="22"/>
                <w:szCs w:val="22"/>
              </w:rPr>
              <w:t>señalan los puntos que cada unidad debe completar, confirmar o eliminar según su situación real: disponibilidad de material, horarios de apoyo anestésico, sistema de registro, normativa local, etc. No es una lista cerrada — revise el documento completo con ese mismo criterio.</w:t>
            </w:r>
          </w:p>
        </w:tc>
      </w:tr>
    </w:tbl>
    <w:p w14:paraId="377BBEC2" w14:textId="77777777" w:rsidR="004E3CAC" w:rsidRPr="00161360" w:rsidRDefault="00997BC4">
      <w:pPr>
        <w:rPr>
          <w:rFonts w:ascii="Archivo ExtraLight" w:hAnsi="Archivo ExtraLight" w:cs="Archivo ExtraLight"/>
          <w:sz w:val="22"/>
          <w:szCs w:val="22"/>
        </w:rPr>
      </w:pPr>
      <w:r w:rsidRPr="00161360">
        <w:rPr>
          <w:rFonts w:ascii="Archivo ExtraLight" w:hAnsi="Archivo ExtraLight" w:cs="Archivo ExtraLight"/>
          <w:sz w:val="22"/>
          <w:szCs w:val="22"/>
        </w:rPr>
        <w:br w:type="page"/>
      </w:r>
    </w:p>
    <w:p w14:paraId="2151F77D" w14:textId="77777777" w:rsidR="004E3CAC" w:rsidRPr="00C0342B" w:rsidRDefault="00997BC4" w:rsidP="00181DFF">
      <w:pPr>
        <w:pStyle w:val="Ttulo1"/>
        <w:pBdr>
          <w:bottom w:val="single" w:sz="8" w:space="4" w:color="35506B"/>
        </w:pBdr>
        <w:spacing w:before="480" w:after="20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lastRenderedPageBreak/>
        <w:t>1. INTRODUCCIÓN</w:t>
      </w:r>
    </w:p>
    <w:p w14:paraId="6090362C" w14:textId="77777777" w:rsidR="004E3CAC"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La sedación en endoscopia digestiva incrementa la tolerancia del paciente y la calidad técnica del procedimiento en igual medida. Ha dejado de ser una opción electiva para convertirse en parte del estándar asistencial que debe ofrecerse de forma sistemática a todos los pacientes.</w:t>
      </w:r>
    </w:p>
    <w:p w14:paraId="177B25EE" w14:textId="77777777" w:rsidR="004E3CAC"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La sedación profunda es el nivel en el que el paciente responde de forma intencionada únicamente a estímulos repetidos o dolorosos, sin reacción espontánea, aunque puede moverse o reaccionar levemente ante la estimulación física. Es un estado de somnolencia profunda en el que la función respiratoria puede estar levemente comprometida (lo que exige disponer de oxigenoterapia de soporte) mientras que la función cardiovascular suele mantenerse preservada.</w:t>
      </w:r>
    </w:p>
    <w:p w14:paraId="6A6ADD2C" w14:textId="77777777" w:rsidR="004E3CAC"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La sedación profunda ha sido realizada históricamente por anestesistas. La evolución de las unidades de endoscopia, respaldada por evidencia científica acumulada durante más de dos décadas y por el posicionamiento de las principales sociedades científicas nacionales e internacionales (ESGE, ASGE, SEPD, SEED y AEG), ha consolidado el manejo del propofol por parte del propio endoscopista, con apoyo de enfermería entrenada, como una práctica segura en pacientes adecuadamente seleccionados.</w:t>
      </w:r>
    </w:p>
    <w:p w14:paraId="20B3C64A" w14:textId="77777777" w:rsidR="00181DFF"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Este documento parte de protocolos internos con más de quince años de uso continuado en unidades de endoscopia de hospitales españoles, revisado en 2026 para incorporar la evidencia publicada hasta esa fecha y las novedades de la guía </w:t>
      </w:r>
      <w:r w:rsidRPr="00161360">
        <w:rPr>
          <w:rFonts w:ascii="Archivo ExtraLight" w:hAnsi="Archivo ExtraLight" w:cs="Archivo ExtraLight"/>
          <w:i/>
          <w:iCs/>
          <w:sz w:val="22"/>
          <w:szCs w:val="22"/>
        </w:rPr>
        <w:t>ESGE-ESGENA sobre sedación en endoscopia digestiva (2026)</w:t>
      </w:r>
      <w:r w:rsidRPr="00161360">
        <w:rPr>
          <w:rFonts w:ascii="Archivo ExtraLight" w:hAnsi="Archivo ExtraLight" w:cs="Archivo ExtraLight"/>
          <w:sz w:val="22"/>
          <w:szCs w:val="22"/>
        </w:rPr>
        <w:t>, que actualiza la guía previa de 2015. La SEPD lo pone a disposición de sus socios como punto de partida común, no como documento cerrado: cada unidad conserva la responsabilidad de adaptarlo, validarlo y, cuando proceda, someterlo a la revisión conjunta con su Servicio de Anestesiología.</w:t>
      </w:r>
    </w:p>
    <w:p w14:paraId="2BCACE8A" w14:textId="77777777" w:rsidR="004E3CAC" w:rsidRPr="00C0342B" w:rsidRDefault="00997BC4" w:rsidP="00181DFF">
      <w:pPr>
        <w:pStyle w:val="Ttulo1"/>
        <w:pBdr>
          <w:bottom w:val="single" w:sz="8" w:space="4" w:color="35506B"/>
        </w:pBdr>
        <w:spacing w:before="480" w:after="20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2. NECESIDADES MATERIALES</w:t>
      </w:r>
    </w:p>
    <w:p w14:paraId="1E624CD1" w14:textId="77777777" w:rsidR="004E3CAC" w:rsidRPr="00C0342B" w:rsidRDefault="00997BC4" w:rsidP="00181DFF">
      <w:pPr>
        <w:pStyle w:val="Ttulo2"/>
        <w:spacing w:before="320" w:after="14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a) En la sala de trabajo</w:t>
      </w:r>
    </w:p>
    <w:p w14:paraId="3C29A8BF" w14:textId="77777777" w:rsidR="004E3CAC" w:rsidRPr="00C0342B" w:rsidRDefault="00997BC4" w:rsidP="00181DFF">
      <w:pPr>
        <w:pStyle w:val="Ttulo3"/>
        <w:spacing w:before="220" w:after="100" w:line="276" w:lineRule="auto"/>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a.1 Equipamiento para monitorización</w:t>
      </w:r>
    </w:p>
    <w:p w14:paraId="253B716B"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Pulsioxímetro.</w:t>
      </w:r>
    </w:p>
    <w:p w14:paraId="747ADB07"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Monitor de ECG.</w:t>
      </w:r>
    </w:p>
    <w:p w14:paraId="28318E7C"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Tensiómetro.</w:t>
      </w:r>
    </w:p>
    <w:p w14:paraId="1033F71A" w14:textId="77777777" w:rsidR="004E3CAC" w:rsidRPr="00C0342B" w:rsidRDefault="00997BC4" w:rsidP="00181DFF">
      <w:pPr>
        <w:pStyle w:val="Prrafodelista"/>
        <w:numPr>
          <w:ilvl w:val="0"/>
          <w:numId w:val="2"/>
        </w:numPr>
        <w:spacing w:after="100" w:line="276" w:lineRule="auto"/>
        <w:jc w:val="both"/>
        <w:rPr>
          <w:rFonts w:ascii="Archivo ExtraLight" w:hAnsi="Archivo ExtraLight" w:cs="Archivo ExtraLight"/>
          <w:color w:val="FFA43A"/>
          <w:sz w:val="22"/>
          <w:szCs w:val="22"/>
        </w:rPr>
      </w:pPr>
      <w:r w:rsidRPr="00161360">
        <w:rPr>
          <w:rFonts w:ascii="Archivo ExtraLight" w:hAnsi="Archivo ExtraLight" w:cs="Archivo ExtraLight"/>
          <w:sz w:val="22"/>
          <w:szCs w:val="22"/>
        </w:rPr>
        <w:t xml:space="preserve">Capnógrafo: recomendable en sedación profunda con propofol según las guías internacionales actuales (ESGE), especialmente en pacientes con mayor riesgo de hipoxemia. </w:t>
      </w:r>
      <w:r w:rsidRPr="00C0342B">
        <w:rPr>
          <w:rFonts w:ascii="Archivo ExtraLight" w:hAnsi="Archivo ExtraLight" w:cs="Archivo ExtraLight"/>
          <w:i/>
          <w:iCs/>
          <w:color w:val="FFA43A"/>
          <w:sz w:val="22"/>
          <w:szCs w:val="22"/>
        </w:rPr>
        <w:t>[Disponibilidad en su unidad: generalizada / limitada a determinadas salas / no disponible — indique dónde y valore un plan de incorporación progresiva si aún no está generalizado]</w:t>
      </w:r>
    </w:p>
    <w:p w14:paraId="349B61EF" w14:textId="77777777" w:rsidR="004E3CAC" w:rsidRPr="00C0342B" w:rsidRDefault="00997BC4" w:rsidP="00181DFF">
      <w:pPr>
        <w:pStyle w:val="Ttulo3"/>
        <w:spacing w:before="220" w:after="100" w:line="276" w:lineRule="auto"/>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a.2 Equipamiento para mantener la vía aérea y resucitación</w:t>
      </w:r>
    </w:p>
    <w:p w14:paraId="4808DE39"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Bombas de infusión intravenosa. Sueros y sistemas de infusión.</w:t>
      </w:r>
    </w:p>
    <w:p w14:paraId="174206BA"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Ambú y mascarilla facial.</w:t>
      </w:r>
    </w:p>
    <w:p w14:paraId="5B08D520"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Mascarilla laríngea.</w:t>
      </w:r>
    </w:p>
    <w:p w14:paraId="7CE5185E"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Sondas nasogástricas.</w:t>
      </w:r>
    </w:p>
    <w:p w14:paraId="7BE4D5FD"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Cánulas de Guedel.</w:t>
      </w:r>
    </w:p>
    <w:p w14:paraId="14F25741"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Toma de oxígeno.</w:t>
      </w:r>
    </w:p>
    <w:p w14:paraId="300A1455"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lastRenderedPageBreak/>
        <w:t>Toma de aspiración independiente y sondas de aspiración estériles.</w:t>
      </w:r>
    </w:p>
    <w:p w14:paraId="0DBAD1CE"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Gafas nasales y mascarillas </w:t>
      </w:r>
      <w:proofErr w:type="spellStart"/>
      <w:r w:rsidRPr="00161360">
        <w:rPr>
          <w:rFonts w:ascii="Archivo ExtraLight" w:hAnsi="Archivo ExtraLight" w:cs="Archivo ExtraLight"/>
          <w:sz w:val="22"/>
          <w:szCs w:val="22"/>
        </w:rPr>
        <w:t>Ventimask</w:t>
      </w:r>
      <w:proofErr w:type="spellEnd"/>
      <w:r w:rsidRPr="00161360">
        <w:rPr>
          <w:rFonts w:ascii="Archivo ExtraLight" w:hAnsi="Archivo ExtraLight" w:cs="Archivo ExtraLight"/>
          <w:sz w:val="22"/>
          <w:szCs w:val="22"/>
        </w:rPr>
        <w:t>.</w:t>
      </w:r>
    </w:p>
    <w:p w14:paraId="530F85E8"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Sistema de oxigenoterapia de alto flujo (OAF): permite flujos de hasta 60 l/min con </w:t>
      </w:r>
      <w:proofErr w:type="spellStart"/>
      <w:r w:rsidRPr="00161360">
        <w:rPr>
          <w:rFonts w:ascii="Archivo ExtraLight" w:hAnsi="Archivo ExtraLight" w:cs="Archivo ExtraLight"/>
          <w:sz w:val="22"/>
          <w:szCs w:val="22"/>
        </w:rPr>
        <w:t>FiO</w:t>
      </w:r>
      <w:proofErr w:type="spellEnd"/>
      <w:r w:rsidRPr="00161360">
        <w:rPr>
          <w:rFonts w:ascii="Archivo ExtraLight" w:hAnsi="Archivo ExtraLight" w:cs="Archivo ExtraLight"/>
          <w:sz w:val="22"/>
          <w:szCs w:val="22"/>
        </w:rPr>
        <w:t xml:space="preserve">₂ ajustable, con gas calentado y humidificado. Prolonga el tiempo de apnea segura mediante oxigenación </w:t>
      </w:r>
      <w:proofErr w:type="spellStart"/>
      <w:r w:rsidRPr="00161360">
        <w:rPr>
          <w:rFonts w:ascii="Archivo ExtraLight" w:hAnsi="Archivo ExtraLight" w:cs="Archivo ExtraLight"/>
          <w:sz w:val="22"/>
          <w:szCs w:val="22"/>
        </w:rPr>
        <w:t>apneica</w:t>
      </w:r>
      <w:proofErr w:type="spellEnd"/>
      <w:r w:rsidRPr="00161360">
        <w:rPr>
          <w:rFonts w:ascii="Archivo ExtraLight" w:hAnsi="Archivo ExtraLight" w:cs="Archivo ExtraLight"/>
          <w:sz w:val="22"/>
          <w:szCs w:val="22"/>
        </w:rPr>
        <w:t xml:space="preserve"> y aporta un efecto CPAP de baja intensidad. Indicado de forma preferente en pacientes con SAOS, obesidad significativa, patología respiratoria crónica o procedimientos de mayor duración (no como sustituto rutinario de la oxigenoterapia convencional en el resto de </w:t>
      </w:r>
      <w:proofErr w:type="gramStart"/>
      <w:r w:rsidRPr="00161360">
        <w:rPr>
          <w:rFonts w:ascii="Archivo ExtraLight" w:hAnsi="Archivo ExtraLight" w:cs="Archivo ExtraLight"/>
          <w:sz w:val="22"/>
          <w:szCs w:val="22"/>
        </w:rPr>
        <w:t>pacientes</w:t>
      </w:r>
      <w:proofErr w:type="gramEnd"/>
      <w:r w:rsidRPr="00161360">
        <w:rPr>
          <w:rFonts w:ascii="Archivo ExtraLight" w:hAnsi="Archivo ExtraLight" w:cs="Archivo ExtraLight"/>
          <w:sz w:val="22"/>
          <w:szCs w:val="22"/>
        </w:rPr>
        <w:t xml:space="preserve">) (ver punto 7.2). </w:t>
      </w:r>
      <w:r w:rsidRPr="00C0342B">
        <w:rPr>
          <w:rFonts w:ascii="Archivo ExtraLight" w:hAnsi="Archivo ExtraLight" w:cs="Archivo ExtraLight"/>
          <w:i/>
          <w:iCs/>
          <w:color w:val="FFA43A"/>
          <w:sz w:val="22"/>
          <w:szCs w:val="22"/>
        </w:rPr>
        <w:t>[Disponibilidad en su unidad]</w:t>
      </w:r>
    </w:p>
    <w:p w14:paraId="1590E65B"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Medicación para la reversión y emergencias: adrenalina, atropina, corticoide de acción rápida, </w:t>
      </w:r>
      <w:proofErr w:type="spellStart"/>
      <w:r w:rsidRPr="00161360">
        <w:rPr>
          <w:rFonts w:ascii="Archivo ExtraLight" w:hAnsi="Archivo ExtraLight" w:cs="Archivo ExtraLight"/>
          <w:sz w:val="22"/>
          <w:szCs w:val="22"/>
        </w:rPr>
        <w:t>flumazenilo</w:t>
      </w:r>
      <w:proofErr w:type="spellEnd"/>
      <w:r w:rsidRPr="00161360">
        <w:rPr>
          <w:rFonts w:ascii="Archivo ExtraLight" w:hAnsi="Archivo ExtraLight" w:cs="Archivo ExtraLight"/>
          <w:sz w:val="22"/>
          <w:szCs w:val="22"/>
        </w:rPr>
        <w:t xml:space="preserve"> y naloxona.</w:t>
      </w:r>
    </w:p>
    <w:p w14:paraId="72E1F910" w14:textId="77777777" w:rsidR="004B299D" w:rsidRPr="00161360" w:rsidRDefault="004B299D" w:rsidP="004B299D">
      <w:pPr>
        <w:pStyle w:val="Prrafodelista"/>
        <w:spacing w:after="100" w:line="276" w:lineRule="auto"/>
        <w:ind w:left="420"/>
        <w:rPr>
          <w:rFonts w:ascii="Archivo ExtraLight" w:hAnsi="Archivo ExtraLight" w:cs="Archivo ExtraLight"/>
          <w:sz w:val="22"/>
          <w:szCs w:val="22"/>
        </w:rPr>
      </w:pPr>
    </w:p>
    <w:p w14:paraId="621CCA01" w14:textId="77777777" w:rsidR="004E3CAC" w:rsidRPr="00C0342B" w:rsidRDefault="00997BC4" w:rsidP="00181DFF">
      <w:pPr>
        <w:pStyle w:val="Ttulo2"/>
        <w:spacing w:before="320" w:after="14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b) En la Unidad de Endoscopias</w:t>
      </w:r>
    </w:p>
    <w:p w14:paraId="057E777C"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Carro de paradas con equipamiento para intubación y medicación de urgencias.</w:t>
      </w:r>
    </w:p>
    <w:p w14:paraId="5FBA91D5"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Desfibrilador semiautomático.</w:t>
      </w:r>
    </w:p>
    <w:p w14:paraId="137984A7" w14:textId="77777777" w:rsidR="004E3CAC" w:rsidRPr="00C0342B" w:rsidRDefault="00997BC4" w:rsidP="00181DFF">
      <w:pPr>
        <w:pStyle w:val="Ttulo2"/>
        <w:spacing w:before="320" w:after="14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c) En la sala de recuperación</w:t>
      </w:r>
    </w:p>
    <w:p w14:paraId="37E2C034" w14:textId="77777777" w:rsidR="007B42A0" w:rsidRPr="00161360" w:rsidRDefault="007B42A0"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Tomas de oxígeno.</w:t>
      </w:r>
    </w:p>
    <w:p w14:paraId="10F453F3"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Pulsioxímetro.</w:t>
      </w:r>
    </w:p>
    <w:p w14:paraId="08454894"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Monitor de ECG.</w:t>
      </w:r>
    </w:p>
    <w:p w14:paraId="64FE0B30"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Tensiómetro.</w:t>
      </w:r>
    </w:p>
    <w:p w14:paraId="01001DD6" w14:textId="77777777" w:rsidR="00181DFF" w:rsidRPr="00161360" w:rsidRDefault="00181DFF" w:rsidP="00181DFF">
      <w:pPr>
        <w:pStyle w:val="Prrafodelista"/>
        <w:spacing w:after="100" w:line="276" w:lineRule="auto"/>
        <w:ind w:left="420"/>
        <w:rPr>
          <w:rFonts w:ascii="Archivo ExtraLight" w:hAnsi="Archivo ExtraLight" w:cs="Archivo ExtraLight"/>
          <w:sz w:val="22"/>
          <w:szCs w:val="22"/>
        </w:rPr>
      </w:pPr>
    </w:p>
    <w:p w14:paraId="7C8555B5" w14:textId="77777777" w:rsidR="004E3CAC" w:rsidRPr="00C0342B" w:rsidRDefault="00997BC4" w:rsidP="00181DFF">
      <w:pPr>
        <w:pStyle w:val="Ttulo1"/>
        <w:pBdr>
          <w:bottom w:val="single" w:sz="8" w:space="4" w:color="35506B"/>
        </w:pBdr>
        <w:spacing w:before="480" w:after="20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3. NECESIDADES HUMANAS</w:t>
      </w:r>
    </w:p>
    <w:p w14:paraId="2235FF16" w14:textId="77777777" w:rsidR="004E3CAC"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Todo profesional que participe en la sedación profunda (médico o enfermero) deberá:</w:t>
      </w:r>
    </w:p>
    <w:p w14:paraId="0C87B774"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Estar cualificado en RCP básica y avanzada.</w:t>
      </w:r>
    </w:p>
    <w:p w14:paraId="4D95830E" w14:textId="77777777" w:rsidR="00604DEC" w:rsidRPr="00161360" w:rsidRDefault="00997BC4" w:rsidP="00181DFF">
      <w:pPr>
        <w:pStyle w:val="Prrafodelista"/>
        <w:numPr>
          <w:ilvl w:val="0"/>
          <w:numId w:val="2"/>
        </w:numPr>
        <w:spacing w:after="100" w:line="276" w:lineRule="auto"/>
        <w:jc w:val="both"/>
        <w:rPr>
          <w:rFonts w:ascii="Archivo ExtraLight" w:hAnsi="Archivo ExtraLight" w:cs="Archivo ExtraLight"/>
          <w:i/>
          <w:iCs/>
          <w:color w:val="B15C00"/>
          <w:sz w:val="22"/>
          <w:szCs w:val="22"/>
        </w:rPr>
      </w:pPr>
      <w:r w:rsidRPr="00161360">
        <w:rPr>
          <w:rFonts w:ascii="Archivo ExtraLight" w:hAnsi="Archivo ExtraLight" w:cs="Archivo ExtraLight"/>
          <w:sz w:val="22"/>
          <w:szCs w:val="22"/>
        </w:rPr>
        <w:t xml:space="preserve">Haber completado un programa de formación específico y acreditado por organismos competentes.  </w:t>
      </w:r>
    </w:p>
    <w:p w14:paraId="7BD1867A" w14:textId="77777777" w:rsidR="004E3CAC" w:rsidRPr="00C0342B" w:rsidRDefault="00997BC4" w:rsidP="00604DEC">
      <w:pPr>
        <w:spacing w:after="160" w:line="276" w:lineRule="auto"/>
        <w:jc w:val="both"/>
        <w:rPr>
          <w:rFonts w:ascii="Archivo ExtraLight" w:hAnsi="Archivo ExtraLight" w:cs="Archivo ExtraLight"/>
          <w:i/>
          <w:iCs/>
          <w:color w:val="FFA43A"/>
          <w:sz w:val="22"/>
          <w:szCs w:val="22"/>
        </w:rPr>
      </w:pPr>
      <w:r w:rsidRPr="00161360">
        <w:rPr>
          <w:rFonts w:ascii="Archivo ExtraLight" w:hAnsi="Archivo ExtraLight" w:cs="Archivo ExtraLight"/>
          <w:sz w:val="22"/>
          <w:szCs w:val="22"/>
        </w:rPr>
        <w:t xml:space="preserve">Presencia de una segunda persona en sala: las guías actuales recomiendan que, siempre que sea posible, exista al menos una persona (médico o enfermero capacitado) distinta del endoscopista, dedicada a administrar la sedación y monitorizar al paciente. El endoscopista es quien indica y prescribe la sedación; su administración puede ser ejecutada por personal de enfermería u otro facultativo del equipo de endoscopias, si está disponible. </w:t>
      </w:r>
      <w:r w:rsidRPr="00C0342B">
        <w:rPr>
          <w:rFonts w:ascii="Archivo ExtraLight" w:hAnsi="Archivo ExtraLight" w:cs="Archivo ExtraLight"/>
          <w:i/>
          <w:iCs/>
          <w:color w:val="FFA43A"/>
          <w:sz w:val="22"/>
          <w:szCs w:val="22"/>
        </w:rPr>
        <w:t>[Describa cómo se organiza en su unidad: quién administra la medicación, con qué acreditación, y bajo qué supervisión clínica]</w:t>
      </w:r>
    </w:p>
    <w:p w14:paraId="3020E0B8" w14:textId="77777777" w:rsidR="00181DFF" w:rsidRPr="00161360" w:rsidRDefault="00181DFF" w:rsidP="00181DFF">
      <w:pPr>
        <w:spacing w:after="160" w:line="276" w:lineRule="auto"/>
        <w:jc w:val="both"/>
        <w:rPr>
          <w:rFonts w:ascii="Archivo ExtraLight" w:hAnsi="Archivo ExtraLight" w:cs="Archivo ExtraLight"/>
          <w:sz w:val="22"/>
          <w:szCs w:val="22"/>
        </w:rPr>
      </w:pPr>
    </w:p>
    <w:p w14:paraId="7859C9FB" w14:textId="77777777" w:rsidR="004E3CAC" w:rsidRPr="00161360" w:rsidRDefault="00997BC4" w:rsidP="00181DFF">
      <w:pPr>
        <w:pStyle w:val="Ttulo1"/>
        <w:pBdr>
          <w:bottom w:val="single" w:sz="8" w:space="4" w:color="35506B"/>
        </w:pBdr>
        <w:spacing w:before="480" w:after="200" w:line="276" w:lineRule="auto"/>
        <w:rPr>
          <w:rFonts w:ascii="Archivo ExtraLight" w:hAnsi="Archivo ExtraLight" w:cs="Archivo ExtraLight"/>
          <w:sz w:val="22"/>
          <w:szCs w:val="22"/>
        </w:rPr>
      </w:pPr>
      <w:r w:rsidRPr="00161360">
        <w:rPr>
          <w:rFonts w:ascii="Archivo ExtraLight" w:hAnsi="Archivo ExtraLight" w:cs="Archivo ExtraLight"/>
          <w:b/>
          <w:bCs/>
          <w:color w:val="35506B"/>
          <w:sz w:val="22"/>
          <w:szCs w:val="22"/>
        </w:rPr>
        <w:t>4. EVALUACIÓN DEL PACIENTE</w:t>
      </w:r>
    </w:p>
    <w:p w14:paraId="27A6ABE7" w14:textId="77777777" w:rsidR="004E3CAC"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La evaluación previa a la sedación persigue un doble objetivo: estratificar el riesgo anestésico e identificar contraindicaciones o factores que condicionen la pauta farmacológica.</w:t>
      </w:r>
    </w:p>
    <w:p w14:paraId="401D915D" w14:textId="77777777" w:rsidR="004E3CAC" w:rsidRPr="00C0342B" w:rsidRDefault="00997BC4" w:rsidP="00181DFF">
      <w:pPr>
        <w:pStyle w:val="Ttulo2"/>
        <w:spacing w:before="320" w:after="14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lastRenderedPageBreak/>
        <w:t>4.1 Factores de riesgo a evaluar</w:t>
      </w:r>
    </w:p>
    <w:p w14:paraId="495E6B76" w14:textId="77777777" w:rsidR="004E3CAC" w:rsidRPr="00C0342B" w:rsidRDefault="00997BC4" w:rsidP="00181DFF">
      <w:pPr>
        <w:pStyle w:val="Prrafodelista"/>
        <w:numPr>
          <w:ilvl w:val="0"/>
          <w:numId w:val="2"/>
        </w:numPr>
        <w:spacing w:after="100" w:line="276" w:lineRule="auto"/>
        <w:jc w:val="both"/>
        <w:rPr>
          <w:rFonts w:ascii="Archivo ExtraLight" w:hAnsi="Archivo ExtraLight" w:cs="Archivo ExtraLight"/>
          <w:color w:val="FFA43A"/>
          <w:sz w:val="22"/>
          <w:szCs w:val="22"/>
        </w:rPr>
      </w:pPr>
      <w:r w:rsidRPr="00161360">
        <w:rPr>
          <w:rFonts w:ascii="Archivo ExtraLight" w:hAnsi="Archivo ExtraLight" w:cs="Archivo ExtraLight"/>
          <w:sz w:val="22"/>
          <w:szCs w:val="22"/>
        </w:rPr>
        <w:t xml:space="preserve">Alergia al huevo con historia de anafilaxia: única contraindicación alérgica establecida para el propofol con base en evidencia clínica. La alergia al huevo sin anafilaxia previa, así como la alergia a la soja o a los frutos secos, no se consideran contraindicaciones, dado que el excipiente lipídico del propofol (lecitina de huevo purificada) no contiene las proteínas responsables de la mayoría de las reacciones mediadas por IgE frente a estos alimentos. </w:t>
      </w:r>
      <w:r w:rsidRPr="00C0342B">
        <w:rPr>
          <w:rFonts w:ascii="Archivo ExtraLight" w:hAnsi="Archivo ExtraLight" w:cs="Archivo ExtraLight"/>
          <w:i/>
          <w:iCs/>
          <w:color w:val="FFA43A"/>
          <w:sz w:val="22"/>
          <w:szCs w:val="22"/>
        </w:rPr>
        <w:t>[Recomendable confirmar este criterio con el Servicio de Alergología de su centro antes de incorporarlo al protocolo local]</w:t>
      </w:r>
    </w:p>
    <w:p w14:paraId="464D5D11"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Obesidad significativa (IMC &gt; 35 kg/m²).</w:t>
      </w:r>
    </w:p>
    <w:p w14:paraId="20F82ECB"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Síndrome de apnea obstructiva del sueño (SAOS), independientemente del IMC: se asocia a mayor riesgo de obstrucción de la vía aérea durante la sedación y debe consignarse de forma explícita. Su presencia obliga a valorar cada caso de forma individualizada, considerando el uso de OAF o el apoyo anestésico.</w:t>
      </w:r>
    </w:p>
    <w:p w14:paraId="6C27DE83"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Dificultad previsible en el manejo de la vía aérea: problemas previos con sedaciones o anestesias, estridor laríngeo, masas que compriman la vía, artritis reumatoide de columna cervical, Mallampati III o IV.</w:t>
      </w:r>
    </w:p>
    <w:p w14:paraId="50902D57"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Insuficiencia respiratoria crónica (EPOC, fibrosis pulmonar) o cardiopatía significativa.</w:t>
      </w:r>
    </w:p>
    <w:p w14:paraId="46285638"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Hepatopatía crónica grave o insuficiencia renal avanzada.</w:t>
      </w:r>
    </w:p>
    <w:p w14:paraId="1480869A"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Embarazo (ver 7.4).</w:t>
      </w:r>
    </w:p>
    <w:p w14:paraId="21B876C6"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Consumo de sustancias depresoras del SNC (benzodiacepinas, opiáceos, alcohol) o estimulantes (cocaína, anfetaminas): puede requerir ajuste de dosis.</w:t>
      </w:r>
    </w:p>
    <w:p w14:paraId="3CB13F94"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Historia de antecedentes adversos graves en sedaciones previas.</w:t>
      </w:r>
    </w:p>
    <w:p w14:paraId="76E0ECB3"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Consumo crónico de tabaco (mayor requerimiento de dosis).</w:t>
      </w:r>
    </w:p>
    <w:p w14:paraId="2DE58A5C" w14:textId="77777777" w:rsidR="00144B14" w:rsidRPr="00161360" w:rsidRDefault="00144B14" w:rsidP="00181DFF">
      <w:pPr>
        <w:pStyle w:val="Prrafodelista"/>
        <w:spacing w:after="100" w:line="276" w:lineRule="auto"/>
        <w:ind w:left="420"/>
        <w:jc w:val="both"/>
        <w:rPr>
          <w:rFonts w:ascii="Archivo ExtraLight" w:hAnsi="Archivo ExtraLight" w:cs="Archivo ExtraLight"/>
          <w:sz w:val="22"/>
          <w:szCs w:val="22"/>
        </w:rPr>
      </w:pPr>
    </w:p>
    <w:p w14:paraId="59F9C4A9" w14:textId="77777777" w:rsidR="004E3CAC" w:rsidRPr="00C0342B" w:rsidRDefault="00997BC4" w:rsidP="00181DFF">
      <w:pPr>
        <w:pStyle w:val="Ttulo2"/>
        <w:spacing w:before="320" w:after="14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4.2 Pacientes en tratamiento con agonistas del receptor de GLP-1</w:t>
      </w:r>
    </w:p>
    <w:p w14:paraId="5DFA6E0B" w14:textId="77777777" w:rsidR="004E3CAC"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La guía ESGE-ESGENA 2026 introduce esta consideración como novedad frente a la edición de 2015, ante la extensión del uso de semaglutida y fármacos análogos (recomendación condicional con certeza de evidencia muy baja). Estos fármacos pueden retrasar el vaciamiento gástrico y aumentar el riesgo de aspiración en pacientes sedados.</w:t>
      </w:r>
    </w:p>
    <w:p w14:paraId="6B5C965A" w14:textId="77777777" w:rsidR="004E3CAC"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No se recomienda la suspensión sistemática y automática del tratamiento antes del procedimiento. La decisión debe individualizarse, valorando la dosis, el tiempo desde la última administración, la presencia de síntomas digestivos altos y las preferencias del paciente, e idealmente de forma compartida con el prescriptor del fármaco.</w:t>
      </w:r>
    </w:p>
    <w:tbl>
      <w:tblPr>
        <w:tblW w:w="9350" w:type="dxa"/>
        <w:tblBorders>
          <w:top w:val="single" w:sz="4" w:space="0" w:color="35506B"/>
          <w:left w:val="single" w:sz="4" w:space="0" w:color="35506B"/>
          <w:bottom w:val="single" w:sz="4" w:space="0" w:color="35506B"/>
          <w:right w:val="single" w:sz="4" w:space="0" w:color="35506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50"/>
      </w:tblGrid>
      <w:tr w:rsidR="004E3CAC" w:rsidRPr="00161360" w14:paraId="70759471" w14:textId="77777777">
        <w:tc>
          <w:tcPr>
            <w:tcW w:w="9350" w:type="dxa"/>
            <w:shd w:val="clear" w:color="auto" w:fill="EAEEF1"/>
            <w:tcMar>
              <w:top w:w="160" w:type="dxa"/>
              <w:left w:w="180" w:type="dxa"/>
              <w:bottom w:w="160" w:type="dxa"/>
              <w:right w:w="180" w:type="dxa"/>
            </w:tcMar>
          </w:tcPr>
          <w:p w14:paraId="5A00EC49" w14:textId="77777777" w:rsidR="004E3CAC" w:rsidRPr="00161360" w:rsidRDefault="00997BC4" w:rsidP="00181DFF">
            <w:pPr>
              <w:spacing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Defina en su unidad: </w:t>
            </w:r>
            <w:r w:rsidRPr="00C0342B">
              <w:rPr>
                <w:rFonts w:ascii="Archivo ExtraLight" w:hAnsi="Archivo ExtraLight" w:cs="Archivo ExtraLight"/>
                <w:i/>
                <w:iCs/>
                <w:color w:val="FFA43A"/>
                <w:sz w:val="22"/>
                <w:szCs w:val="22"/>
              </w:rPr>
              <w:t>[criterio local ante estos pacientes — p. ej. ayuno ampliado, cuestionario de síntomas digestivos altos previo, o valoración ecográfica del contenido gástrico en caso de duda — y quién decide sobre la administración del procedimiento y el nivel de sedación]</w:t>
            </w:r>
          </w:p>
        </w:tc>
      </w:tr>
    </w:tbl>
    <w:p w14:paraId="69CCB0C7" w14:textId="77777777" w:rsidR="004E3CAC" w:rsidRPr="00C0342B" w:rsidRDefault="00997BC4" w:rsidP="00181DFF">
      <w:pPr>
        <w:pStyle w:val="Ttulo2"/>
        <w:spacing w:before="320" w:after="14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4.3 Clasificación ASA (revisión 2020)</w:t>
      </w:r>
    </w:p>
    <w:p w14:paraId="6CA6BAB3" w14:textId="77777777" w:rsidR="004E3CAC"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Se utiliza la clasificación del estado físico de la American </w:t>
      </w:r>
      <w:proofErr w:type="spellStart"/>
      <w:r w:rsidRPr="00161360">
        <w:rPr>
          <w:rFonts w:ascii="Archivo ExtraLight" w:hAnsi="Archivo ExtraLight" w:cs="Archivo ExtraLight"/>
          <w:sz w:val="22"/>
          <w:szCs w:val="22"/>
        </w:rPr>
        <w:t>Society</w:t>
      </w:r>
      <w:proofErr w:type="spellEnd"/>
      <w:r w:rsidRPr="00161360">
        <w:rPr>
          <w:rFonts w:ascii="Archivo ExtraLight" w:hAnsi="Archivo ExtraLight" w:cs="Archivo ExtraLight"/>
          <w:sz w:val="22"/>
          <w:szCs w:val="22"/>
        </w:rPr>
        <w:t xml:space="preserve"> </w:t>
      </w:r>
      <w:proofErr w:type="spellStart"/>
      <w:r w:rsidRPr="00161360">
        <w:rPr>
          <w:rFonts w:ascii="Archivo ExtraLight" w:hAnsi="Archivo ExtraLight" w:cs="Archivo ExtraLight"/>
          <w:sz w:val="22"/>
          <w:szCs w:val="22"/>
        </w:rPr>
        <w:t>of</w:t>
      </w:r>
      <w:proofErr w:type="spellEnd"/>
      <w:r w:rsidRPr="00161360">
        <w:rPr>
          <w:rFonts w:ascii="Archivo ExtraLight" w:hAnsi="Archivo ExtraLight" w:cs="Archivo ExtraLight"/>
          <w:sz w:val="22"/>
          <w:szCs w:val="22"/>
        </w:rPr>
        <w:t xml:space="preserve"> </w:t>
      </w:r>
      <w:proofErr w:type="spellStart"/>
      <w:r w:rsidRPr="00161360">
        <w:rPr>
          <w:rFonts w:ascii="Archivo ExtraLight" w:hAnsi="Archivo ExtraLight" w:cs="Archivo ExtraLight"/>
          <w:sz w:val="22"/>
          <w:szCs w:val="22"/>
        </w:rPr>
        <w:t>Anesthesiologists</w:t>
      </w:r>
      <w:proofErr w:type="spellEnd"/>
      <w:r w:rsidRPr="00161360">
        <w:rPr>
          <w:rFonts w:ascii="Archivo ExtraLight" w:hAnsi="Archivo ExtraLight" w:cs="Archivo ExtraLight"/>
          <w:sz w:val="22"/>
          <w:szCs w:val="22"/>
        </w:rPr>
        <w:t xml:space="preserve"> (ASA), actualizada en 2020 con nuevos ejemplos clínicos. Los ejemplos son orientativos y no exhaustivos:</w:t>
      </w:r>
    </w:p>
    <w:p w14:paraId="53556142"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b/>
          <w:bCs/>
          <w:sz w:val="22"/>
          <w:szCs w:val="22"/>
        </w:rPr>
        <w:lastRenderedPageBreak/>
        <w:t xml:space="preserve">Clase I — </w:t>
      </w:r>
      <w:r w:rsidRPr="00161360">
        <w:rPr>
          <w:rFonts w:ascii="Archivo ExtraLight" w:hAnsi="Archivo ExtraLight" w:cs="Archivo ExtraLight"/>
          <w:sz w:val="22"/>
          <w:szCs w:val="22"/>
        </w:rPr>
        <w:t>Paciente sano normal. Ejemplos: sano, no fumador, consumo de alcohol nulo o mínimo.</w:t>
      </w:r>
    </w:p>
    <w:p w14:paraId="0D81011D"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b/>
          <w:bCs/>
          <w:sz w:val="22"/>
          <w:szCs w:val="22"/>
        </w:rPr>
        <w:t xml:space="preserve">Clase II — </w:t>
      </w:r>
      <w:r w:rsidRPr="00161360">
        <w:rPr>
          <w:rFonts w:ascii="Archivo ExtraLight" w:hAnsi="Archivo ExtraLight" w:cs="Archivo ExtraLight"/>
          <w:sz w:val="22"/>
          <w:szCs w:val="22"/>
        </w:rPr>
        <w:t>Paciente con enfermedad sistémica leve. Solo enfermedades leves, sin limitaciones funcionales sustanciales ni afectación de órgano diana. Ejemplos: fumador activo, consumo social de alcohol, embarazo, obesidad (IMC 30-40), DM o HTA bien controladas, enfermedad pulmonar leve, insuficiencia cardiaca clase I de la NYHA, disfunción cognitiva leve, SAOS aislado leve o moderado con cumplimiento del tratamiento con CPAP según lo prescrito.</w:t>
      </w:r>
    </w:p>
    <w:p w14:paraId="29146ABC"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b/>
          <w:bCs/>
          <w:sz w:val="22"/>
          <w:szCs w:val="22"/>
        </w:rPr>
        <w:t xml:space="preserve">Clase III — </w:t>
      </w:r>
      <w:r w:rsidRPr="00161360">
        <w:rPr>
          <w:rFonts w:ascii="Archivo ExtraLight" w:hAnsi="Archivo ExtraLight" w:cs="Archivo ExtraLight"/>
          <w:sz w:val="22"/>
          <w:szCs w:val="22"/>
        </w:rPr>
        <w:t xml:space="preserve">Paciente con enfermedad sistémica grave. Limitaciones funcionales sustanciales; una o más enfermedades de moderadas a graves. Ejemplos: EPOC, obesidad mórbida (IMC ≥ 40), hepatitis activa, cirrosis compensada, dependencia o abuso de alcohol, marcapasos implantado funcional, reducción moderada de la fracción de eyección o insuficiencia cardiaca clase II o III de la NYHA, IRCT en diálisis programada regularmente, antecedente (&gt; 3 meses) de IAM, ACV, TIA, tromboembolismo pulmonar o enfermedad coronaria con </w:t>
      </w:r>
      <w:proofErr w:type="spellStart"/>
      <w:r w:rsidRPr="00161360">
        <w:rPr>
          <w:rFonts w:ascii="Archivo ExtraLight" w:hAnsi="Archivo ExtraLight" w:cs="Archivo ExtraLight"/>
          <w:sz w:val="22"/>
          <w:szCs w:val="22"/>
        </w:rPr>
        <w:t>ste</w:t>
      </w:r>
      <w:r w:rsidRPr="00161360">
        <w:rPr>
          <w:rFonts w:ascii="Archivo ExtraLight" w:hAnsi="Archivo ExtraLight" w:cs="Archivo ExtraLight"/>
          <w:sz w:val="22"/>
          <w:szCs w:val="22"/>
        </w:rPr>
        <w:t>nts</w:t>
      </w:r>
      <w:proofErr w:type="spellEnd"/>
      <w:r w:rsidRPr="00161360">
        <w:rPr>
          <w:rFonts w:ascii="Archivo ExtraLight" w:hAnsi="Archivo ExtraLight" w:cs="Archivo ExtraLight"/>
          <w:sz w:val="22"/>
          <w:szCs w:val="22"/>
        </w:rPr>
        <w:t>, disfunción cognitiva significativa, SAOS aislado grave, independientemente del cumplimiento de la CPAP, o SAOS de cualquier gravedad sin cumplimiento de la CPAP, DM o HTA mal controladas, con o sin disfunción de órgano diana.</w:t>
      </w:r>
    </w:p>
    <w:p w14:paraId="0F4F86CA"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b/>
          <w:bCs/>
          <w:sz w:val="22"/>
          <w:szCs w:val="22"/>
        </w:rPr>
        <w:t xml:space="preserve">Clase IV — </w:t>
      </w:r>
      <w:r w:rsidRPr="00161360">
        <w:rPr>
          <w:rFonts w:ascii="Archivo ExtraLight" w:hAnsi="Archivo ExtraLight" w:cs="Archivo ExtraLight"/>
          <w:sz w:val="22"/>
          <w:szCs w:val="22"/>
        </w:rPr>
        <w:t xml:space="preserve">Paciente con enfermedad sistémica grave que supone una amenaza constante para la vida. Ejemplos: IAM, ACV, TIA o enfermedad coronaria con </w:t>
      </w:r>
      <w:proofErr w:type="spellStart"/>
      <w:r w:rsidRPr="00161360">
        <w:rPr>
          <w:rFonts w:ascii="Archivo ExtraLight" w:hAnsi="Archivo ExtraLight" w:cs="Archivo ExtraLight"/>
          <w:sz w:val="22"/>
          <w:szCs w:val="22"/>
        </w:rPr>
        <w:t>stents</w:t>
      </w:r>
      <w:proofErr w:type="spellEnd"/>
      <w:r w:rsidRPr="00161360">
        <w:rPr>
          <w:rFonts w:ascii="Archivo ExtraLight" w:hAnsi="Archivo ExtraLight" w:cs="Archivo ExtraLight"/>
          <w:sz w:val="22"/>
          <w:szCs w:val="22"/>
        </w:rPr>
        <w:t xml:space="preserve"> recientes (&lt; 3 meses), isquemia cardiaca en curso o disfunción valvular grave, reducción grave de la fracción de eyección o insuficiencia cardiaca clase IV de la NYHA, shock, sepsis, CID, síndrome de distrés respiratorio agudo, IRCT sin diálisis programada regularmente, cirrosis descompensada, disfunción cognitiva grave.</w:t>
      </w:r>
    </w:p>
    <w:p w14:paraId="78F2BAB6"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b/>
          <w:bCs/>
          <w:sz w:val="22"/>
          <w:szCs w:val="22"/>
        </w:rPr>
        <w:t xml:space="preserve">Clase V — </w:t>
      </w:r>
      <w:r w:rsidRPr="00161360">
        <w:rPr>
          <w:rFonts w:ascii="Archivo ExtraLight" w:hAnsi="Archivo ExtraLight" w:cs="Archivo ExtraLight"/>
          <w:sz w:val="22"/>
          <w:szCs w:val="22"/>
        </w:rPr>
        <w:t>Paciente moribundo que no se espera que sobreviva sin la intervención. Ejemplos: rotura de aneurisma abdominal o torácico, traumatismo masivo, hemorragia intracraneal con efecto masa, isquemia intestinal con patología cardiaca significativa o disfunción multiorgánica.</w:t>
      </w:r>
    </w:p>
    <w:p w14:paraId="4417457C"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b/>
          <w:bCs/>
          <w:sz w:val="22"/>
          <w:szCs w:val="22"/>
        </w:rPr>
        <w:t xml:space="preserve">Clase VI — </w:t>
      </w:r>
      <w:r w:rsidRPr="00161360">
        <w:rPr>
          <w:rFonts w:ascii="Archivo ExtraLight" w:hAnsi="Archivo ExtraLight" w:cs="Archivo ExtraLight"/>
          <w:sz w:val="22"/>
          <w:szCs w:val="22"/>
        </w:rPr>
        <w:t>Paciente con muerte cerebral declarada cuyos órganos se extraen con fines de donación.</w:t>
      </w:r>
    </w:p>
    <w:p w14:paraId="12F1D553" w14:textId="77777777" w:rsidR="004E3CAC" w:rsidRPr="00C0342B" w:rsidRDefault="00997BC4" w:rsidP="00181DFF">
      <w:pPr>
        <w:pStyle w:val="Ttulo2"/>
        <w:spacing w:before="320" w:after="14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4.4 Criterios generales de indicación según ASA</w:t>
      </w:r>
    </w:p>
    <w:p w14:paraId="629198B5"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ASA I y II: sedación profunda por el equipo de endoscopias, sin restricciones adicionales, sin perjuicio de los factores de riesgo indicados en el apartado 4.1.</w:t>
      </w:r>
    </w:p>
    <w:p w14:paraId="069C4381"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ASA III: puede ser sedado por el equipo de endoscopias con ajuste de dosis y vigilancia reforzada. Se valorará individualmente la necesidad de apoyo anestésico según el tipo de patología de base y su estabilidad. </w:t>
      </w:r>
      <w:r w:rsidRPr="00C0342B">
        <w:rPr>
          <w:rFonts w:ascii="Archivo ExtraLight" w:hAnsi="Archivo ExtraLight" w:cs="Archivo ExtraLight"/>
          <w:i/>
          <w:iCs/>
          <w:color w:val="FFA43A"/>
          <w:sz w:val="22"/>
          <w:szCs w:val="22"/>
        </w:rPr>
        <w:t>[Indique si su unidad cuenta con apoyo anestésico habitual y en qué horario]</w:t>
      </w:r>
    </w:p>
    <w:p w14:paraId="33D666FC"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ASA IV: no indicado para sedación profunda administrada por el equipo de endoscopias. En situaciones de urgencia donde el procedimiento sea inaplazable y no sea posible contar con apoyo anestésico en un tiempo razonable, la decisión deberá quedar documentada y justificada explícitamente en la historia clínica, empleando las dosis mínimas eficaces posibles.</w:t>
      </w:r>
    </w:p>
    <w:p w14:paraId="43399116" w14:textId="77777777" w:rsidR="005210B8" w:rsidRPr="00161360" w:rsidRDefault="005210B8" w:rsidP="005210B8">
      <w:pPr>
        <w:pStyle w:val="Prrafodelista"/>
        <w:spacing w:after="100" w:line="276" w:lineRule="auto"/>
        <w:ind w:left="420"/>
        <w:jc w:val="both"/>
        <w:rPr>
          <w:rFonts w:ascii="Archivo ExtraLight" w:hAnsi="Archivo ExtraLight" w:cs="Archivo ExtraLight"/>
          <w:sz w:val="22"/>
          <w:szCs w:val="22"/>
        </w:rPr>
      </w:pPr>
    </w:p>
    <w:p w14:paraId="4CF604FB" w14:textId="02C1AEED" w:rsidR="005210B8"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u w:val="single"/>
        </w:rPr>
        <w:t>Nota</w:t>
      </w:r>
      <w:r w:rsidRPr="00161360">
        <w:rPr>
          <w:rFonts w:ascii="Archivo ExtraLight" w:hAnsi="Archivo ExtraLight" w:cs="Archivo ExtraLight"/>
          <w:sz w:val="22"/>
          <w:szCs w:val="22"/>
        </w:rPr>
        <w:t>: la obesidad con IMC ≥ 40 (ASA III) y el SAOS son factores que aumentan el riesgo de complicaciones respiratorias. En estos pacientes se valorará cada caso de forma individualizada, considerando el uso de OAF o el apoyo anestésico.</w:t>
      </w:r>
    </w:p>
    <w:p w14:paraId="33428381" w14:textId="77777777" w:rsidR="00253192" w:rsidRPr="00161360" w:rsidRDefault="00253192" w:rsidP="00181DFF">
      <w:pPr>
        <w:spacing w:after="160" w:line="276" w:lineRule="auto"/>
        <w:jc w:val="both"/>
        <w:rPr>
          <w:rFonts w:ascii="Archivo ExtraLight" w:hAnsi="Archivo ExtraLight" w:cs="Archivo ExtraLight"/>
          <w:sz w:val="22"/>
          <w:szCs w:val="22"/>
        </w:rPr>
      </w:pPr>
    </w:p>
    <w:p w14:paraId="1529F55E" w14:textId="77777777" w:rsidR="005210B8"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u w:val="single"/>
        </w:rPr>
        <w:lastRenderedPageBreak/>
        <w:t>Alternativa a valorar</w:t>
      </w:r>
      <w:r w:rsidRPr="00161360">
        <w:rPr>
          <w:rFonts w:ascii="Archivo ExtraLight" w:hAnsi="Archivo ExtraLight" w:cs="Archivo ExtraLight"/>
          <w:sz w:val="22"/>
          <w:szCs w:val="22"/>
        </w:rPr>
        <w:t xml:space="preserve">: para procedimientos diagnósticos, la guía ESGE-ESGENA 2026 recuerda la opción de ofrecer colonoscopia o gastroscopia sin sedación según preferencia del paciente y del endoscopista, esta última preferiblemente con gastroscopio ultrafino o </w:t>
      </w:r>
      <w:proofErr w:type="spellStart"/>
      <w:r w:rsidRPr="00161360">
        <w:rPr>
          <w:rFonts w:ascii="Archivo ExtraLight" w:hAnsi="Archivo ExtraLight" w:cs="Archivo ExtraLight"/>
          <w:sz w:val="22"/>
          <w:szCs w:val="22"/>
        </w:rPr>
        <w:t>transnasal</w:t>
      </w:r>
      <w:proofErr w:type="spellEnd"/>
      <w:r w:rsidRPr="00161360">
        <w:rPr>
          <w:rFonts w:ascii="Archivo ExtraLight" w:hAnsi="Archivo ExtraLight" w:cs="Archivo ExtraLight"/>
          <w:sz w:val="22"/>
          <w:szCs w:val="22"/>
        </w:rPr>
        <w:t xml:space="preserve"> cuando esté disponible (recomendaciones condicionales). Es una alternativa a informar al paciente, no una obligación del protocolo.</w:t>
      </w:r>
    </w:p>
    <w:p w14:paraId="44B0BEB3" w14:textId="77777777" w:rsidR="005210B8" w:rsidRPr="00161360" w:rsidRDefault="005210B8" w:rsidP="00181DFF">
      <w:pPr>
        <w:spacing w:after="160" w:line="276" w:lineRule="auto"/>
        <w:jc w:val="both"/>
        <w:rPr>
          <w:rFonts w:ascii="Archivo ExtraLight" w:hAnsi="Archivo ExtraLight" w:cs="Archivo ExtraLight"/>
          <w:sz w:val="22"/>
          <w:szCs w:val="22"/>
        </w:rPr>
      </w:pPr>
    </w:p>
    <w:p w14:paraId="4B90B184" w14:textId="77777777" w:rsidR="004E3CAC" w:rsidRPr="00C0342B" w:rsidRDefault="00997BC4" w:rsidP="00181DFF">
      <w:pPr>
        <w:pStyle w:val="Ttulo1"/>
        <w:pBdr>
          <w:bottom w:val="single" w:sz="8" w:space="4" w:color="35506B"/>
        </w:pBdr>
        <w:spacing w:before="480" w:after="20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5. FARMACOLOGÍA DE LOS SEDANTES</w:t>
      </w:r>
    </w:p>
    <w:p w14:paraId="08F702A7" w14:textId="77777777" w:rsidR="004E3CAC" w:rsidRPr="00C0342B" w:rsidRDefault="00997BC4" w:rsidP="00181DFF">
      <w:pPr>
        <w:pStyle w:val="Ttulo2"/>
        <w:spacing w:before="320" w:after="14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5.1 Propofol (PPF)</w:t>
      </w:r>
    </w:p>
    <w:p w14:paraId="072D7126" w14:textId="77777777" w:rsidR="004E3CAC" w:rsidRPr="00161360" w:rsidRDefault="00997BC4" w:rsidP="00181DFF">
      <w:pPr>
        <w:pStyle w:val="Ttulo3"/>
        <w:spacing w:before="220" w:after="100" w:line="276" w:lineRule="auto"/>
        <w:rPr>
          <w:rFonts w:ascii="Archivo ExtraLight" w:hAnsi="Archivo ExtraLight" w:cs="Archivo ExtraLight"/>
          <w:sz w:val="22"/>
          <w:szCs w:val="22"/>
        </w:rPr>
      </w:pPr>
      <w:r w:rsidRPr="00C0342B">
        <w:rPr>
          <w:rFonts w:ascii="Archivo ExtraLight" w:hAnsi="Archivo ExtraLight" w:cs="Archivo ExtraLight"/>
          <w:b/>
          <w:bCs/>
          <w:i/>
          <w:iCs/>
          <w:color w:val="040C55"/>
          <w:sz w:val="22"/>
          <w:szCs w:val="22"/>
        </w:rPr>
        <w:t>5.1.1 Presentación</w:t>
      </w:r>
    </w:p>
    <w:p w14:paraId="755A8649"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Ampollas al 1% de 20 ml (10 mg/ml)</w:t>
      </w:r>
    </w:p>
    <w:p w14:paraId="2CDE834D"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Viales de 50 ml con 500 mg</w:t>
      </w:r>
    </w:p>
    <w:p w14:paraId="6F5FE049"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Viales de 50 ml al 2%; jeringa precargada de 10 ml y 50 ml</w:t>
      </w:r>
    </w:p>
    <w:p w14:paraId="4C2C3D04" w14:textId="77777777" w:rsidR="004E3CAC"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Desechar el sobrante entre paciente y paciente y usar una ampolla nueva para cada uno: el propofol es muy susceptible de contaminación microbiológica por su base lipídica.</w:t>
      </w:r>
    </w:p>
    <w:p w14:paraId="582D9CE4" w14:textId="77777777" w:rsidR="004E3CAC" w:rsidRPr="00C0342B" w:rsidRDefault="00997BC4" w:rsidP="00181DFF">
      <w:pPr>
        <w:pStyle w:val="Ttulo3"/>
        <w:spacing w:before="220" w:after="100" w:line="276" w:lineRule="auto"/>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5.1.2 Posología</w:t>
      </w:r>
    </w:p>
    <w:p w14:paraId="68E8B9E2" w14:textId="77777777" w:rsidR="004E3CAC"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La dosis es individual y depende de la edad, la condición física y el nivel de inconsciencia requerido.</w:t>
      </w:r>
    </w:p>
    <w:p w14:paraId="432FF1E3" w14:textId="77777777" w:rsidR="004E3CAC"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b/>
          <w:bCs/>
          <w:sz w:val="22"/>
          <w:szCs w:val="22"/>
        </w:rPr>
        <w:t>Inducción</w:t>
      </w:r>
      <w:r w:rsidRPr="00161360">
        <w:rPr>
          <w:rFonts w:ascii="Archivo ExtraLight" w:hAnsi="Archivo ExtraLight" w:cs="Archivo ExtraLight"/>
          <w:sz w:val="22"/>
          <w:szCs w:val="22"/>
        </w:rPr>
        <w:t xml:space="preserve"> (en bolos, esperando 30-40 segundos para observar efecto):</w:t>
      </w:r>
    </w:p>
    <w:p w14:paraId="215F62B0"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&lt; 65 años: 1-2 mg/kg</w:t>
      </w:r>
    </w:p>
    <w:p w14:paraId="6359CFE1"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65-80 años: 1 mg/kg</w:t>
      </w:r>
    </w:p>
    <w:p w14:paraId="0788D1B2"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&gt; 80 años: 0,7 mg/kg</w:t>
      </w:r>
    </w:p>
    <w:p w14:paraId="26E13CCF"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ASA III o IMC elevado: reducir la dosis inicial y titular al efecto.</w:t>
      </w:r>
    </w:p>
    <w:p w14:paraId="29E68BF2" w14:textId="77777777" w:rsidR="004E3CAC"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b/>
          <w:bCs/>
          <w:sz w:val="22"/>
          <w:szCs w:val="22"/>
        </w:rPr>
        <w:t xml:space="preserve">Mantenimiento: </w:t>
      </w:r>
      <w:r w:rsidRPr="00161360">
        <w:rPr>
          <w:rFonts w:ascii="Archivo ExtraLight" w:hAnsi="Archivo ExtraLight" w:cs="Archivo ExtraLight"/>
          <w:sz w:val="22"/>
          <w:szCs w:val="22"/>
        </w:rPr>
        <w:t>infusión continua de 1,5 a 4,5 mg/kg/h. Para incrementos rápidos de profundidad, bolos de 10-20 mg con intervalo mínimo de 1 minuto entre ellos; evitar bolos demasiado rápidos para no sumar efectos.</w:t>
      </w:r>
    </w:p>
    <w:p w14:paraId="0C9385FA" w14:textId="77777777" w:rsidR="004E3CAC"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b/>
          <w:bCs/>
          <w:sz w:val="22"/>
          <w:szCs w:val="22"/>
        </w:rPr>
        <w:t xml:space="preserve">Bomba de infusión: </w:t>
      </w:r>
      <w:r w:rsidRPr="00161360">
        <w:rPr>
          <w:rFonts w:ascii="Archivo ExtraLight" w:hAnsi="Archivo ExtraLight" w:cs="Archivo ExtraLight"/>
          <w:sz w:val="22"/>
          <w:szCs w:val="22"/>
        </w:rPr>
        <w:t xml:space="preserve">bolo inicial titulado según la pauta de inducción anterior, seguido de infusión </w:t>
      </w:r>
      <w:proofErr w:type="gramStart"/>
      <w:r w:rsidRPr="00161360">
        <w:rPr>
          <w:rFonts w:ascii="Archivo ExtraLight" w:hAnsi="Archivo ExtraLight" w:cs="Archivo ExtraLight"/>
          <w:sz w:val="22"/>
          <w:szCs w:val="22"/>
        </w:rPr>
        <w:t>continua</w:t>
      </w:r>
      <w:proofErr w:type="gramEnd"/>
      <w:r w:rsidRPr="00161360">
        <w:rPr>
          <w:rFonts w:ascii="Archivo ExtraLight" w:hAnsi="Archivo ExtraLight" w:cs="Archivo ExtraLight"/>
          <w:sz w:val="22"/>
          <w:szCs w:val="22"/>
        </w:rPr>
        <w:t xml:space="preserve"> ajustada al efecto clínico, a la edad, al peso y a la comorbilidad del paciente, dentro del rango de mantenimiento indicado más arriba.</w:t>
      </w:r>
    </w:p>
    <w:p w14:paraId="1287911A" w14:textId="77777777" w:rsidR="004E3CAC" w:rsidRPr="00C0342B" w:rsidRDefault="00997BC4" w:rsidP="00181DFF">
      <w:pPr>
        <w:pStyle w:val="Ttulo3"/>
        <w:spacing w:before="220" w:after="100" w:line="276" w:lineRule="auto"/>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5.1.3 Efectos farmacológicos y farmacocinética</w:t>
      </w:r>
    </w:p>
    <w:p w14:paraId="75D65EA5"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Hipnosis rápida sin analgesia. Amnesia marcada, aunque menor que con benzodiacepinas a igual nivel de sedación.</w:t>
      </w:r>
    </w:p>
    <w:p w14:paraId="3BF9D5BB"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Depresión cardiovascular dosis-dependiente: disminución de frecuencia cardiaca y tensión arterial, especialmente en ancianos, hipovolémicos o con cardiopatía.</w:t>
      </w:r>
    </w:p>
    <w:p w14:paraId="7A892F16"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Depresión respiratoria dosis-dependiente: puede producir apnea transitoria, disminuye el volumen corriente y bloquea la respuesta al CO₂.</w:t>
      </w:r>
    </w:p>
    <w:p w14:paraId="7BE05C1E"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lastRenderedPageBreak/>
        <w:t>Efecto antiemético. No es analgésico. Los movimientos espontáneos (mioclonías, hipertonía) son frecuentes, de origen subcortical y no implican cognición.</w:t>
      </w:r>
    </w:p>
    <w:p w14:paraId="693AF849"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Es altamente lipofílico, atraviesa la barrera hematoencefálica con rapidez y potencia la transmisión </w:t>
      </w:r>
      <w:proofErr w:type="spellStart"/>
      <w:r w:rsidRPr="00161360">
        <w:rPr>
          <w:rFonts w:ascii="Archivo ExtraLight" w:hAnsi="Archivo ExtraLight" w:cs="Archivo ExtraLight"/>
          <w:sz w:val="22"/>
          <w:szCs w:val="22"/>
        </w:rPr>
        <w:t>GABAérgica</w:t>
      </w:r>
      <w:proofErr w:type="spellEnd"/>
      <w:r w:rsidRPr="00161360">
        <w:rPr>
          <w:rFonts w:ascii="Archivo ExtraLight" w:hAnsi="Archivo ExtraLight" w:cs="Archivo ExtraLight"/>
          <w:sz w:val="22"/>
          <w:szCs w:val="22"/>
        </w:rPr>
        <w:t xml:space="preserve"> inhibidora. Semivida contextual de 5-10 minutos en procedimientos cortos, con pico de efecto entre 30 segundos y 3 minutos tras el bolo.</w:t>
      </w:r>
    </w:p>
    <w:p w14:paraId="1653FF6F"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Metabolismo hepático con eliminación renal (88%). La edad avanzada reduce el aclaramiento y aumenta la sensibilidad; la obesidad exige mantenimiento con dosis más altas; el alcoholismo crónico requiere dosis de inducción mayores. En procedimientos largos la recuperación puede prolongarse por acumulación en tejidos periféricos.</w:t>
      </w:r>
    </w:p>
    <w:p w14:paraId="2F7B02EB" w14:textId="77777777" w:rsidR="004E3CAC" w:rsidRPr="00C0342B" w:rsidRDefault="00997BC4" w:rsidP="00181DFF">
      <w:pPr>
        <w:pStyle w:val="Ttulo3"/>
        <w:spacing w:before="220" w:after="100" w:line="276" w:lineRule="auto"/>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5.1.4 Interacciones relevantes</w:t>
      </w:r>
    </w:p>
    <w:p w14:paraId="1D2BB0B0"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Midazolam: efecto sinérgico (reduce el requerimiento de propofol). Útil en EPOC, SAOS o cardiopatía, donde las dosis de propofol deben minimizarse.</w:t>
      </w:r>
    </w:p>
    <w:p w14:paraId="30261612"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Opiáceos (fentanilo): potencian la sedación; reducir dosis de propofol.</w:t>
      </w:r>
    </w:p>
    <w:p w14:paraId="40298AFA"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Tabaco: aumenta el requerimiento de dosis.</w:t>
      </w:r>
    </w:p>
    <w:p w14:paraId="14C57BE1"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Ciclosporina: evitar la combinación por riesgo de </w:t>
      </w:r>
      <w:proofErr w:type="spellStart"/>
      <w:r w:rsidRPr="00161360">
        <w:rPr>
          <w:rFonts w:ascii="Archivo ExtraLight" w:hAnsi="Archivo ExtraLight" w:cs="Archivo ExtraLight"/>
          <w:sz w:val="22"/>
          <w:szCs w:val="22"/>
        </w:rPr>
        <w:t>leucoencefalopatía</w:t>
      </w:r>
      <w:proofErr w:type="spellEnd"/>
      <w:r w:rsidRPr="00161360">
        <w:rPr>
          <w:rFonts w:ascii="Archivo ExtraLight" w:hAnsi="Archivo ExtraLight" w:cs="Archivo ExtraLight"/>
          <w:sz w:val="22"/>
          <w:szCs w:val="22"/>
        </w:rPr>
        <w:t xml:space="preserve"> asociada a la carga lipídica.</w:t>
      </w:r>
    </w:p>
    <w:p w14:paraId="772E1F28" w14:textId="77777777" w:rsidR="004E3CAC" w:rsidRPr="00C0342B" w:rsidRDefault="00997BC4" w:rsidP="00181DFF">
      <w:pPr>
        <w:pStyle w:val="Ttulo3"/>
        <w:spacing w:before="220" w:after="10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5.1.5 Reacciones adversas</w:t>
      </w:r>
    </w:p>
    <w:p w14:paraId="3F6E391E" w14:textId="77777777" w:rsidR="004E3CAC"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b/>
          <w:bCs/>
          <w:sz w:val="22"/>
          <w:szCs w:val="22"/>
        </w:rPr>
        <w:t xml:space="preserve">Frecuentes: </w:t>
      </w:r>
      <w:r w:rsidRPr="00161360">
        <w:rPr>
          <w:rFonts w:ascii="Archivo ExtraLight" w:hAnsi="Archivo ExtraLight" w:cs="Archivo ExtraLight"/>
          <w:sz w:val="22"/>
          <w:szCs w:val="22"/>
        </w:rPr>
        <w:t>dolor en el punto de inyección (28-90%, mitigable con lidocaína 2% previa o mezclada), hipotensión arterial (hasta 9% en inducción), bradicardia, depresión respiratoria/apnea transitoria (&lt;1% en inducción con dosis habituales), movimientos involuntarios. En recuperación: náuseas (10-25%), vómitos, cefalea.</w:t>
      </w:r>
    </w:p>
    <w:p w14:paraId="029209D8" w14:textId="77777777" w:rsidR="004E3CAC" w:rsidRPr="00161360" w:rsidRDefault="00997BC4" w:rsidP="00181DF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b/>
          <w:bCs/>
          <w:sz w:val="22"/>
          <w:szCs w:val="22"/>
        </w:rPr>
        <w:t xml:space="preserve">Raras: </w:t>
      </w:r>
      <w:r w:rsidRPr="00161360">
        <w:rPr>
          <w:rFonts w:ascii="Archivo ExtraLight" w:hAnsi="Archivo ExtraLight" w:cs="Archivo ExtraLight"/>
          <w:sz w:val="22"/>
          <w:szCs w:val="22"/>
        </w:rPr>
        <w:t>convulsiones epileptiformes/opistótonos (&lt;1%); desinhibición sexual (&lt;1%), que debe consignarse en la historia clínica si ocurre.</w:t>
      </w:r>
    </w:p>
    <w:p w14:paraId="3790640F" w14:textId="77777777" w:rsidR="004E3CAC" w:rsidRPr="00C0342B" w:rsidRDefault="00997BC4" w:rsidP="00181DFF">
      <w:pPr>
        <w:pStyle w:val="Ttulo3"/>
        <w:spacing w:before="220" w:after="10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5.1.6 Contraindicaciones y limitaciones</w:t>
      </w:r>
    </w:p>
    <w:p w14:paraId="395B5CF5"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Alergia al huevo con historia de anafilaxia (véase 4.1). La alergia al huevo sin anafilaxia, a la soja o a los frutos secos no constituye contraindicación por sí sola.</w:t>
      </w:r>
    </w:p>
    <w:p w14:paraId="0109F4C1"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proofErr w:type="gramStart"/>
      <w:r w:rsidRPr="00161360">
        <w:rPr>
          <w:rFonts w:ascii="Archivo ExtraLight" w:hAnsi="Archivo ExtraLight" w:cs="Archivo ExtraLight"/>
          <w:sz w:val="22"/>
          <w:szCs w:val="22"/>
        </w:rPr>
        <w:t>SAOS descompensado</w:t>
      </w:r>
      <w:proofErr w:type="gramEnd"/>
      <w:r w:rsidRPr="00161360">
        <w:rPr>
          <w:rFonts w:ascii="Archivo ExtraLight" w:hAnsi="Archivo ExtraLight" w:cs="Archivo ExtraLight"/>
          <w:sz w:val="22"/>
          <w:szCs w:val="22"/>
        </w:rPr>
        <w:t xml:space="preserve"> sin soporte de vía aérea asegurado.</w:t>
      </w:r>
    </w:p>
    <w:p w14:paraId="75FF4A1B"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Historia de intubación difícil o síndromes con anomalías de la vía aérea.</w:t>
      </w:r>
    </w:p>
    <w:p w14:paraId="5DCADE47"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Riesgo elevado de aspiración: valorar vaciado gástrico con SNG y asegurar sistema de aspiración operativo.</w:t>
      </w:r>
    </w:p>
    <w:p w14:paraId="4ABE2189"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Antecedentes de complicaciones graves en sedaciones profundas previas.</w:t>
      </w:r>
    </w:p>
    <w:p w14:paraId="7B195324" w14:textId="77777777" w:rsidR="004E3CAC" w:rsidRPr="00C0342B" w:rsidRDefault="00997BC4" w:rsidP="00181DFF">
      <w:pPr>
        <w:pStyle w:val="Ttulo3"/>
        <w:spacing w:before="220" w:after="10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5.1.7 Embarazo y lactancia</w:t>
      </w:r>
    </w:p>
    <w:p w14:paraId="15978C22"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Embarazo: el propofol atraviesa la placenta y puede causar depresión neonatal. Según la ficha técnica, solo debe utilizarse si es absolutamente necesario, por lo que se reservará para cuando no existan alternativas más seguras (véase 7.4).</w:t>
      </w:r>
    </w:p>
    <w:p w14:paraId="71E7B829" w14:textId="77777777" w:rsidR="004E3CAC" w:rsidRPr="00161360" w:rsidRDefault="00997BC4" w:rsidP="00181DFF">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Lactancia: el propofol se excreta en leche materna. Suspender la lactancia y desechar la leche durante las 24 horas posteriores a la administración.</w:t>
      </w:r>
    </w:p>
    <w:p w14:paraId="6190E57E" w14:textId="77777777" w:rsidR="00181DFF" w:rsidRDefault="00181DFF" w:rsidP="00181DFF">
      <w:pPr>
        <w:pStyle w:val="Prrafodelista"/>
        <w:spacing w:after="100" w:line="276" w:lineRule="auto"/>
        <w:ind w:left="420"/>
        <w:jc w:val="both"/>
        <w:rPr>
          <w:rFonts w:ascii="Archivo ExtraLight" w:hAnsi="Archivo ExtraLight" w:cs="Archivo ExtraLight"/>
          <w:sz w:val="22"/>
          <w:szCs w:val="22"/>
        </w:rPr>
      </w:pPr>
    </w:p>
    <w:p w14:paraId="6C9A4A09" w14:textId="77777777" w:rsidR="00C0342B" w:rsidRPr="00161360" w:rsidRDefault="00C0342B" w:rsidP="00181DFF">
      <w:pPr>
        <w:pStyle w:val="Prrafodelista"/>
        <w:spacing w:after="100" w:line="276" w:lineRule="auto"/>
        <w:ind w:left="420"/>
        <w:jc w:val="both"/>
        <w:rPr>
          <w:rFonts w:ascii="Archivo ExtraLight" w:hAnsi="Archivo ExtraLight" w:cs="Archivo ExtraLight"/>
          <w:sz w:val="22"/>
          <w:szCs w:val="22"/>
        </w:rPr>
      </w:pPr>
    </w:p>
    <w:p w14:paraId="0EC1027F" w14:textId="77777777" w:rsidR="004E3CAC" w:rsidRPr="00C0342B" w:rsidRDefault="00997BC4" w:rsidP="00181DFF">
      <w:pPr>
        <w:pStyle w:val="Ttulo2"/>
        <w:spacing w:before="320" w:after="14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lastRenderedPageBreak/>
        <w:t xml:space="preserve">5.2 </w:t>
      </w:r>
      <w:proofErr w:type="spellStart"/>
      <w:r w:rsidRPr="00C0342B">
        <w:rPr>
          <w:rFonts w:ascii="Archivo ExtraLight" w:hAnsi="Archivo ExtraLight" w:cs="Archivo ExtraLight"/>
          <w:b/>
          <w:bCs/>
          <w:color w:val="040C55"/>
          <w:sz w:val="22"/>
          <w:szCs w:val="22"/>
        </w:rPr>
        <w:t>Remimazolam</w:t>
      </w:r>
      <w:proofErr w:type="spellEnd"/>
    </w:p>
    <w:p w14:paraId="1D896EF2" w14:textId="77777777" w:rsidR="000F456B" w:rsidRPr="00161360" w:rsidRDefault="005210B8" w:rsidP="005210B8">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El </w:t>
      </w:r>
      <w:proofErr w:type="spellStart"/>
      <w:r w:rsidRPr="00161360">
        <w:rPr>
          <w:rFonts w:ascii="Archivo ExtraLight" w:hAnsi="Archivo ExtraLight" w:cs="Archivo ExtraLight"/>
          <w:sz w:val="22"/>
          <w:szCs w:val="22"/>
        </w:rPr>
        <w:t>remimazolam</w:t>
      </w:r>
      <w:proofErr w:type="spellEnd"/>
      <w:r w:rsidRPr="00161360">
        <w:rPr>
          <w:rFonts w:ascii="Archivo ExtraLight" w:hAnsi="Archivo ExtraLight" w:cs="Archivo ExtraLight"/>
          <w:sz w:val="22"/>
          <w:szCs w:val="22"/>
        </w:rPr>
        <w:t xml:space="preserve"> es una benzodiacepina de acción ultracorta, metabolizada por esterasas tisulares con independencia de la función hepática o renal, lo que le confiere un perfil de recuperación rápido y predecible. La guía ESGE-ESGENA 2026 lo sugiere como alternativa en pacientes ancianos y con comorbilidad cardiorrespiratoria (recomendación condicional, con certeza de evidencia baja) y recomienda precaución al combinarlo con otros sedantes o analgésicos (recomendación con certeza baja).</w:t>
      </w:r>
    </w:p>
    <w:p w14:paraId="3C720538" w14:textId="77777777" w:rsidR="005210B8" w:rsidRPr="00C0342B" w:rsidRDefault="005210B8" w:rsidP="005210B8">
      <w:pPr>
        <w:spacing w:after="160" w:line="276" w:lineRule="auto"/>
        <w:jc w:val="both"/>
        <w:rPr>
          <w:rFonts w:ascii="Archivo ExtraLight" w:hAnsi="Archivo ExtraLight" w:cs="Archivo ExtraLight"/>
          <w:i/>
          <w:iCs/>
          <w:color w:val="FFA43A"/>
          <w:sz w:val="22"/>
          <w:szCs w:val="22"/>
        </w:rPr>
      </w:pPr>
      <w:r w:rsidRPr="00C0342B">
        <w:rPr>
          <w:rFonts w:ascii="Archivo ExtraLight" w:hAnsi="Archivo ExtraLight" w:cs="Archivo ExtraLight"/>
          <w:i/>
          <w:iCs/>
          <w:color w:val="FFA43A"/>
          <w:sz w:val="22"/>
          <w:szCs w:val="22"/>
        </w:rPr>
        <w:t>[Disponibilidad en su unidad: SÍ / NO. Es un fármaco de incorporación reciente en endoscopia digestiva en España — valore disponibilidad, coste, experiencia del equipo y, si decide incorporarlo, redacte su propia ficha de posología, contraindicaciones e interacciones antes de incluirlo en el protocolo local. Si no está disponible, elimine este apartado.]</w:t>
      </w:r>
    </w:p>
    <w:p w14:paraId="7D3EFDDF" w14:textId="77777777" w:rsidR="005210B8" w:rsidRPr="00161360" w:rsidRDefault="005210B8" w:rsidP="00181DFF">
      <w:pPr>
        <w:spacing w:after="160" w:line="276" w:lineRule="auto"/>
        <w:rPr>
          <w:rFonts w:ascii="Archivo ExtraLight" w:hAnsi="Archivo ExtraLight" w:cs="Archivo ExtraLight"/>
          <w:sz w:val="22"/>
          <w:szCs w:val="22"/>
        </w:rPr>
      </w:pPr>
    </w:p>
    <w:p w14:paraId="749E4D9E" w14:textId="77777777" w:rsidR="004E3CAC" w:rsidRPr="00C0342B" w:rsidRDefault="00997BC4" w:rsidP="005210B8">
      <w:pPr>
        <w:pStyle w:val="Ttulo1"/>
        <w:pBdr>
          <w:bottom w:val="single" w:sz="8" w:space="4" w:color="35506B"/>
        </w:pBdr>
        <w:spacing w:before="480" w:after="200" w:line="276" w:lineRule="auto"/>
        <w:rPr>
          <w:rFonts w:ascii="Archivo ExtraLight" w:hAnsi="Archivo ExtraLight" w:cs="Archivo ExtraLight"/>
          <w:b/>
          <w:bCs/>
          <w:color w:val="040C55"/>
          <w:sz w:val="22"/>
          <w:szCs w:val="22"/>
        </w:rPr>
      </w:pPr>
      <w:r w:rsidRPr="00C0342B">
        <w:rPr>
          <w:rFonts w:ascii="Archivo ExtraLight" w:hAnsi="Archivo ExtraLight" w:cs="Archivo ExtraLight"/>
          <w:b/>
          <w:bCs/>
          <w:color w:val="040C55"/>
          <w:sz w:val="22"/>
          <w:szCs w:val="22"/>
        </w:rPr>
        <w:t>6. CONSENTIMIENTO INFORMADO</w:t>
      </w:r>
    </w:p>
    <w:p w14:paraId="78149F1B" w14:textId="77777777" w:rsidR="00D00821" w:rsidRPr="00161360" w:rsidRDefault="00D00821" w:rsidP="00D00821">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La guía ESGE-ESGENA 2026 recomienda, con grado de recomendación fuerte, que el consentimiento informado de los procedimientos endoscópicos incluya de forma explícita la sedación.</w:t>
      </w:r>
    </w:p>
    <w:p w14:paraId="4A28C0A0" w14:textId="77777777" w:rsidR="00BF529F" w:rsidRPr="00161360" w:rsidRDefault="00D00821" w:rsidP="00BF529F">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La SEPD, a través de su Comité de Calidad, mantiene un repositorio de consentimientos informados que cubre todos los procedimientos de endoscopia digestiva, sedación incluida, a disposición de los socios en su página web. Se recomienda a las unidades utilizar dicho documento o, si emplean uno propio, contrastarlo con él, de modo que el paciente reciba información adecuada sobre la técnica, sus alternativas y sus riesgos, y que el consentimiento quede documentado en la historia clínica.</w:t>
      </w:r>
    </w:p>
    <w:p w14:paraId="187290AB" w14:textId="77777777" w:rsidR="00BF529F" w:rsidRPr="00161360" w:rsidRDefault="00BF529F" w:rsidP="00BF529F">
      <w:pPr>
        <w:spacing w:after="160" w:line="276" w:lineRule="auto"/>
        <w:jc w:val="both"/>
        <w:rPr>
          <w:rFonts w:ascii="Archivo ExtraLight" w:hAnsi="Archivo ExtraLight" w:cs="Archivo ExtraLight"/>
          <w:sz w:val="22"/>
          <w:szCs w:val="22"/>
        </w:rPr>
      </w:pPr>
    </w:p>
    <w:p w14:paraId="7E24C217" w14:textId="77777777" w:rsidR="004E3CAC" w:rsidRPr="00C0342B" w:rsidRDefault="00997BC4" w:rsidP="00181DFF">
      <w:pPr>
        <w:pStyle w:val="Ttulo1"/>
        <w:pBdr>
          <w:bottom w:val="single" w:sz="8" w:space="4" w:color="35506B"/>
        </w:pBdr>
        <w:spacing w:before="480" w:after="20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7. PROTOCOLO CLÍNICO</w:t>
      </w:r>
    </w:p>
    <w:p w14:paraId="6336E19E" w14:textId="77777777" w:rsidR="004E3CAC" w:rsidRPr="00C0342B" w:rsidRDefault="00997BC4" w:rsidP="006E2724">
      <w:pPr>
        <w:pStyle w:val="Ttulo2"/>
        <w:spacing w:before="320" w:after="14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7.1 Evaluación previa a la sedación</w:t>
      </w:r>
    </w:p>
    <w:p w14:paraId="4B7A4E94" w14:textId="77777777" w:rsidR="004E3CAC" w:rsidRPr="00161360" w:rsidRDefault="00997BC4" w:rsidP="006E272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Ayuno: al menos 6 horas para sólidos y leche; al menos 2 horas para líquidos claros (agua, zumos sin pulpa, infusiones sin leche).</w:t>
      </w:r>
    </w:p>
    <w:p w14:paraId="2E2557FD" w14:textId="77777777" w:rsidR="004E3CAC" w:rsidRPr="00161360" w:rsidRDefault="00997BC4" w:rsidP="006E272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Verificación de consentimiento informado firmado.</w:t>
      </w:r>
    </w:p>
    <w:p w14:paraId="69AD3EAD" w14:textId="77777777" w:rsidR="004E3CAC" w:rsidRPr="00161360" w:rsidRDefault="00997BC4" w:rsidP="006E272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Recogida de antecedentes: ASA, alergias, medicación habitual (antiagregantes, anticoagulantes, antidepresivos, antidiabéticos —incluidos agonistas GLP-1, ver 4.2—, benzodiacepinas), consumo de alcohol/tabaco/otros tóxicos.</w:t>
      </w:r>
    </w:p>
    <w:p w14:paraId="364A74C6" w14:textId="77777777" w:rsidR="004E3CAC" w:rsidRPr="00161360" w:rsidRDefault="00997BC4" w:rsidP="006E272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Retirada de prótesis dentales antes del procedimiento.</w:t>
      </w:r>
    </w:p>
    <w:p w14:paraId="616EA86B" w14:textId="77777777" w:rsidR="004E3CAC" w:rsidRPr="00161360" w:rsidRDefault="00997BC4" w:rsidP="006E272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Valoración de Mallampati cuando se sospeche vía aérea difícil.</w:t>
      </w:r>
    </w:p>
    <w:p w14:paraId="6D3FFE90" w14:textId="77777777" w:rsidR="00A04383" w:rsidRPr="00161360" w:rsidRDefault="00997BC4" w:rsidP="006E2724">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La valoración preanestésica formal no es necesaria en pacientes ASA I-II ni en ASA III estables. Ante un ASA III con inestabilidad clínica o dudas sobre el manejo, la decisión se individualizará caso por caso.</w:t>
      </w:r>
    </w:p>
    <w:p w14:paraId="4B15D784" w14:textId="77777777" w:rsidR="00BF529F" w:rsidRDefault="00BF529F" w:rsidP="006E2724">
      <w:pPr>
        <w:spacing w:after="160" w:line="276" w:lineRule="auto"/>
        <w:jc w:val="both"/>
        <w:rPr>
          <w:rFonts w:ascii="Archivo ExtraLight" w:hAnsi="Archivo ExtraLight" w:cs="Archivo ExtraLight"/>
          <w:sz w:val="22"/>
          <w:szCs w:val="22"/>
        </w:rPr>
      </w:pPr>
    </w:p>
    <w:p w14:paraId="0C96EC47" w14:textId="77777777" w:rsidR="00C0342B" w:rsidRPr="00161360" w:rsidRDefault="00C0342B" w:rsidP="006E2724">
      <w:pPr>
        <w:spacing w:after="160" w:line="276" w:lineRule="auto"/>
        <w:jc w:val="both"/>
        <w:rPr>
          <w:rFonts w:ascii="Archivo ExtraLight" w:hAnsi="Archivo ExtraLight" w:cs="Archivo ExtraLight"/>
          <w:sz w:val="22"/>
          <w:szCs w:val="22"/>
        </w:rPr>
      </w:pPr>
    </w:p>
    <w:p w14:paraId="1FF9D0E0" w14:textId="77777777" w:rsidR="004E3CAC" w:rsidRPr="00C0342B" w:rsidRDefault="00997BC4" w:rsidP="006E2724">
      <w:pPr>
        <w:pStyle w:val="Ttulo2"/>
        <w:spacing w:before="320" w:after="14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lastRenderedPageBreak/>
        <w:t>7.2 Monitorización</w:t>
      </w:r>
    </w:p>
    <w:p w14:paraId="4DCEE6C2" w14:textId="77777777" w:rsidR="004E3CAC" w:rsidRPr="00C0342B" w:rsidRDefault="00997BC4" w:rsidP="006E2724">
      <w:pPr>
        <w:pStyle w:val="Ttulo3"/>
        <w:spacing w:before="220" w:after="10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Papel de enfermería — preparación de la sala</w:t>
      </w:r>
    </w:p>
    <w:p w14:paraId="157781F6" w14:textId="77777777" w:rsidR="004E3CAC" w:rsidRPr="00161360" w:rsidRDefault="00997BC4" w:rsidP="006E272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Revisión y reposición del material de la sala antes de iniciar la agenda.</w:t>
      </w:r>
    </w:p>
    <w:p w14:paraId="24C179E9" w14:textId="77777777" w:rsidR="004E3CAC" w:rsidRPr="00161360" w:rsidRDefault="00997BC4" w:rsidP="006E272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Comprobación de monitores, tomas de oxígeno, ambú, mascarillas, bomba de infusión y medicación de urgencia.</w:t>
      </w:r>
    </w:p>
    <w:p w14:paraId="2D6E9452" w14:textId="77777777" w:rsidR="004E3CAC" w:rsidRPr="00C0342B" w:rsidRDefault="00997BC4" w:rsidP="006E2724">
      <w:pPr>
        <w:pStyle w:val="Ttulo3"/>
        <w:spacing w:before="220" w:after="10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Recorrido del paciente</w:t>
      </w:r>
    </w:p>
    <w:p w14:paraId="063CDBDE" w14:textId="77777777" w:rsidR="004E3CAC" w:rsidRPr="00161360" w:rsidRDefault="00997BC4" w:rsidP="006E272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En la sala de cuidados/reanimación/recepción: identificación, verificación de ayuno, recogida de historia clínica, retirada de prótesis dentales, canalización de vía venosa, verificación del consentimiento informado.</w:t>
      </w:r>
    </w:p>
    <w:p w14:paraId="67CB9176" w14:textId="77777777" w:rsidR="004E3CAC" w:rsidRPr="00161360" w:rsidRDefault="00997BC4" w:rsidP="006E272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En la sala de endoscopia: colocación del paciente, conexión de monitorización (SpO₂, ECG, TA), registro basal previo a la sedación, colocación de gafas nasales y oxigenoterapia.</w:t>
      </w:r>
    </w:p>
    <w:p w14:paraId="07985674" w14:textId="77777777" w:rsidR="006B4EDA" w:rsidRPr="00C0342B" w:rsidRDefault="00997BC4">
      <w:pPr>
        <w:pStyle w:val="Ttulo3"/>
        <w:spacing w:before="220" w:after="10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Monitorización durante la sedación y la recuperación</w:t>
      </w:r>
    </w:p>
    <w:p w14:paraId="7A3959E8" w14:textId="24FF3592" w:rsidR="006B4EDA" w:rsidRPr="00161360" w:rsidRDefault="00997BC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Monitorización continua de SpO₂ y FC desde el registro basal previo a la sedación hasta el alta de la sala de recuperación. Valorar ECG continuo en pacientes de mayor riesgo. </w:t>
      </w:r>
    </w:p>
    <w:p w14:paraId="053B1B36" w14:textId="77777777" w:rsidR="006B4EDA" w:rsidRPr="00161360" w:rsidRDefault="00997BC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Tensión arterial: registro basal y a intervalos regulares durante el procedimiento (habitualmente cada 5 minutos, con mayor frecuencia en pacientes de mayor riesgo o ante inestabilidad hemodinámica). </w:t>
      </w:r>
      <w:r w:rsidRPr="00C0342B">
        <w:rPr>
          <w:rFonts w:ascii="Archivo ExtraLight" w:hAnsi="Archivo ExtraLight" w:cs="Archivo ExtraLight"/>
          <w:i/>
          <w:iCs/>
          <w:color w:val="FFA43A"/>
          <w:sz w:val="22"/>
          <w:szCs w:val="22"/>
        </w:rPr>
        <w:t>[Indique la pauta de su unidad]</w:t>
      </w:r>
    </w:p>
    <w:p w14:paraId="478F98E5" w14:textId="77777777" w:rsidR="006B4EDA" w:rsidRPr="00161360" w:rsidRDefault="00997BC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Nivel de sedación: valoración sistemática y registro de la respuesta del paciente con una escala validada, con el objetivo de mantener la profundidad mínima necesaria para el procedimiento. </w:t>
      </w:r>
      <w:r w:rsidRPr="00C0342B">
        <w:rPr>
          <w:rFonts w:ascii="Archivo ExtraLight" w:hAnsi="Archivo ExtraLight" w:cs="Archivo ExtraLight"/>
          <w:i/>
          <w:iCs/>
          <w:color w:val="FFA43A"/>
          <w:sz w:val="22"/>
          <w:szCs w:val="22"/>
        </w:rPr>
        <w:t>[Indique la escala utilizada en su unidad, p. ej. OAA/S o Ramsay]</w:t>
      </w:r>
    </w:p>
    <w:p w14:paraId="6AE95E75" w14:textId="77777777" w:rsidR="006B4EDA" w:rsidRPr="00161360" w:rsidRDefault="00997BC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Ventilación: observación clínica continua del patrón respiratorio y de la permeabilidad de la vía aérea, además de la pulsioximetría y, cuando esté disponible, la capnografía.</w:t>
      </w:r>
    </w:p>
    <w:p w14:paraId="15D9A378" w14:textId="77777777" w:rsidR="006B4EDA" w:rsidRPr="00161360" w:rsidRDefault="00997BC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La persona que monitoriza debe estar dedicada a esa tarea durante la sedación (véase el apartado 3) y comunicar de inmediato al endoscopista cualquier cambio relevante.</w:t>
      </w:r>
    </w:p>
    <w:p w14:paraId="5960FAE6" w14:textId="77777777" w:rsidR="004E3CAC" w:rsidRPr="00C0342B" w:rsidRDefault="00997BC4" w:rsidP="006E2724">
      <w:pPr>
        <w:pStyle w:val="Ttulo3"/>
        <w:spacing w:before="220" w:after="10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Oxigenoterapia — selección del dispositivo</w:t>
      </w:r>
    </w:p>
    <w:p w14:paraId="78862E41" w14:textId="77777777" w:rsidR="004E3CAC" w:rsidRPr="00161360" w:rsidRDefault="00997BC4" w:rsidP="006E272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Pacientes sin patología respiratoria de base: gafas nasales a 4 l/</w:t>
      </w:r>
      <w:proofErr w:type="gramStart"/>
      <w:r w:rsidRPr="00161360">
        <w:rPr>
          <w:rFonts w:ascii="Archivo ExtraLight" w:hAnsi="Archivo ExtraLight" w:cs="Archivo ExtraLight"/>
          <w:sz w:val="22"/>
          <w:szCs w:val="22"/>
        </w:rPr>
        <w:t>min iniciadas antes</w:t>
      </w:r>
      <w:proofErr w:type="gramEnd"/>
      <w:r w:rsidRPr="00161360">
        <w:rPr>
          <w:rFonts w:ascii="Archivo ExtraLight" w:hAnsi="Archivo ExtraLight" w:cs="Archivo ExtraLight"/>
          <w:sz w:val="22"/>
          <w:szCs w:val="22"/>
        </w:rPr>
        <w:t xml:space="preserve"> de la sedación, para optimizar la </w:t>
      </w:r>
      <w:proofErr w:type="spellStart"/>
      <w:r w:rsidRPr="00161360">
        <w:rPr>
          <w:rFonts w:ascii="Archivo ExtraLight" w:hAnsi="Archivo ExtraLight" w:cs="Archivo ExtraLight"/>
          <w:sz w:val="22"/>
          <w:szCs w:val="22"/>
        </w:rPr>
        <w:t>preoxigenación</w:t>
      </w:r>
      <w:proofErr w:type="spellEnd"/>
      <w:r w:rsidRPr="00161360">
        <w:rPr>
          <w:rFonts w:ascii="Archivo ExtraLight" w:hAnsi="Archivo ExtraLight" w:cs="Archivo ExtraLight"/>
          <w:sz w:val="22"/>
          <w:szCs w:val="22"/>
        </w:rPr>
        <w:t>.</w:t>
      </w:r>
    </w:p>
    <w:p w14:paraId="4EA9789C" w14:textId="77777777" w:rsidR="004E3CAC" w:rsidRPr="00161360" w:rsidRDefault="00997BC4" w:rsidP="006E272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EPOC con hipercapnia crónica: flujo igual o inferior a 4 l/min. Nunca superior: el estímulo ventilatorio en estos pacientes es la hipoxia, no la hipercapnia.</w:t>
      </w:r>
    </w:p>
    <w:p w14:paraId="5684E265" w14:textId="77777777" w:rsidR="004E3CAC" w:rsidRPr="00161360" w:rsidRDefault="00997BC4" w:rsidP="006E272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Pacientes con SAOS, obesidad significativa, patología respiratoria de base o procedimientos largos: considerar OAF desde el inicio de la sedación, si está disponible. No se recomienda su uso rutinario en el resto de </w:t>
      </w:r>
      <w:proofErr w:type="gramStart"/>
      <w:r w:rsidRPr="00161360">
        <w:rPr>
          <w:rFonts w:ascii="Archivo ExtraLight" w:hAnsi="Archivo ExtraLight" w:cs="Archivo ExtraLight"/>
          <w:sz w:val="22"/>
          <w:szCs w:val="22"/>
        </w:rPr>
        <w:t>pacientes</w:t>
      </w:r>
      <w:proofErr w:type="gramEnd"/>
      <w:r w:rsidRPr="00161360">
        <w:rPr>
          <w:rFonts w:ascii="Archivo ExtraLight" w:hAnsi="Archivo ExtraLight" w:cs="Archivo ExtraLight"/>
          <w:sz w:val="22"/>
          <w:szCs w:val="22"/>
        </w:rPr>
        <w:t xml:space="preserve"> con propofol (recomendación fuerte de la ESGE) ya que debe considerarse una herramienta para el subgrupo de mayor riesgo respiratorio, no una sustitución generalizada de la oxigenoterapia convencional.</w:t>
      </w:r>
    </w:p>
    <w:p w14:paraId="42EE21D8" w14:textId="77777777" w:rsidR="00BF529F" w:rsidRPr="00161360" w:rsidRDefault="00BF529F" w:rsidP="00BF529F">
      <w:pPr>
        <w:pStyle w:val="Prrafodelista"/>
        <w:spacing w:after="100" w:line="276" w:lineRule="auto"/>
        <w:ind w:left="420"/>
        <w:jc w:val="both"/>
        <w:rPr>
          <w:rFonts w:ascii="Archivo ExtraLight" w:hAnsi="Archivo ExtraLight" w:cs="Archivo ExtraLight"/>
          <w:sz w:val="22"/>
          <w:szCs w:val="22"/>
        </w:rPr>
      </w:pPr>
    </w:p>
    <w:p w14:paraId="44953D8D" w14:textId="77777777" w:rsidR="004E3CAC" w:rsidRPr="00C0342B" w:rsidRDefault="00997BC4" w:rsidP="006E2724">
      <w:pPr>
        <w:spacing w:after="160" w:line="276" w:lineRule="auto"/>
        <w:jc w:val="both"/>
        <w:rPr>
          <w:rFonts w:ascii="Archivo ExtraLight" w:hAnsi="Archivo ExtraLight" w:cs="Archivo ExtraLight"/>
          <w:i/>
          <w:iCs/>
          <w:color w:val="FFA43A"/>
          <w:sz w:val="22"/>
          <w:szCs w:val="22"/>
        </w:rPr>
      </w:pPr>
      <w:r w:rsidRPr="00161360">
        <w:rPr>
          <w:rFonts w:ascii="Archivo ExtraLight" w:hAnsi="Archivo ExtraLight" w:cs="Archivo ExtraLight"/>
          <w:sz w:val="22"/>
          <w:szCs w:val="22"/>
          <w:u w:val="single"/>
        </w:rPr>
        <w:t>Capnografía</w:t>
      </w:r>
      <w:r w:rsidRPr="00161360">
        <w:rPr>
          <w:rFonts w:ascii="Archivo ExtraLight" w:hAnsi="Archivo ExtraLight" w:cs="Archivo ExtraLight"/>
          <w:sz w:val="22"/>
          <w:szCs w:val="22"/>
        </w:rPr>
        <w:t xml:space="preserve">: herramienta útil para la detección precoz de hipoventilación, ya que detecta el problema antes de que se refleje en la pulsioximetría. La guía ESGE-ESGENA 2026 la posiciona como recomendable en pacientes con mayor riesgo de hipoxemia, no como monitorización rutinaria universal en endoscopia convencional (recomendación condicional). </w:t>
      </w:r>
      <w:r w:rsidRPr="00C0342B">
        <w:rPr>
          <w:rFonts w:ascii="Archivo ExtraLight" w:hAnsi="Archivo ExtraLight" w:cs="Archivo ExtraLight"/>
          <w:i/>
          <w:iCs/>
          <w:color w:val="FFA43A"/>
          <w:sz w:val="22"/>
          <w:szCs w:val="22"/>
        </w:rPr>
        <w:t>[Indique dónde está disponible en su unidad y en qué procedimientos se usa de forma sistemática]</w:t>
      </w:r>
    </w:p>
    <w:p w14:paraId="2C671B26" w14:textId="77777777" w:rsidR="00BF529F" w:rsidRPr="00161360" w:rsidRDefault="00BF529F" w:rsidP="006E2724">
      <w:pPr>
        <w:spacing w:after="160" w:line="276" w:lineRule="auto"/>
        <w:jc w:val="both"/>
        <w:rPr>
          <w:rFonts w:ascii="Archivo ExtraLight" w:hAnsi="Archivo ExtraLight" w:cs="Archivo ExtraLight"/>
          <w:sz w:val="22"/>
          <w:szCs w:val="22"/>
        </w:rPr>
      </w:pPr>
    </w:p>
    <w:p w14:paraId="0A893AE1" w14:textId="77777777" w:rsidR="004E3CAC" w:rsidRPr="00161360" w:rsidRDefault="00997BC4" w:rsidP="006E2724">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u w:val="single"/>
        </w:rPr>
        <w:t>Otras herramientas</w:t>
      </w:r>
      <w:r w:rsidRPr="00161360">
        <w:rPr>
          <w:rFonts w:ascii="Archivo ExtraLight" w:hAnsi="Archivo ExtraLight" w:cs="Archivo ExtraLight"/>
          <w:sz w:val="22"/>
          <w:szCs w:val="22"/>
        </w:rPr>
        <w:t xml:space="preserve">: la guía no recomienda el uso rutinario de monitor de profundidad anestésica (BIS) con propofol (recomendación fuerte), ni el uso rutinario de </w:t>
      </w:r>
      <w:proofErr w:type="gramStart"/>
      <w:r w:rsidRPr="00161360">
        <w:rPr>
          <w:rFonts w:ascii="Archivo ExtraLight" w:hAnsi="Archivo ExtraLight" w:cs="Archivo ExtraLight"/>
          <w:sz w:val="22"/>
          <w:szCs w:val="22"/>
        </w:rPr>
        <w:t>spray</w:t>
      </w:r>
      <w:proofErr w:type="gramEnd"/>
      <w:r w:rsidRPr="00161360">
        <w:rPr>
          <w:rFonts w:ascii="Archivo ExtraLight" w:hAnsi="Archivo ExtraLight" w:cs="Archivo ExtraLight"/>
          <w:sz w:val="22"/>
          <w:szCs w:val="22"/>
        </w:rPr>
        <w:t xml:space="preserve"> anestésico faríngeo en gastroscopia con sedación profunda ni de antiespasmódicos en colonoscopia sedada. Como complemento no farmacológico, puede valorarse ofrecer música o realidad virtual durante el procedimiento cuando el centro disponga de los medios (recomendación condicional, evidencia limitada).</w:t>
      </w:r>
    </w:p>
    <w:p w14:paraId="4DA47472" w14:textId="77777777" w:rsidR="00A04383" w:rsidRPr="00161360" w:rsidRDefault="00A04383" w:rsidP="006E2724">
      <w:pPr>
        <w:spacing w:after="160" w:line="276" w:lineRule="auto"/>
        <w:jc w:val="both"/>
        <w:rPr>
          <w:rFonts w:ascii="Archivo ExtraLight" w:hAnsi="Archivo ExtraLight" w:cs="Archivo ExtraLight"/>
          <w:sz w:val="22"/>
          <w:szCs w:val="22"/>
        </w:rPr>
      </w:pPr>
    </w:p>
    <w:p w14:paraId="391427C9" w14:textId="77777777" w:rsidR="004E3CAC" w:rsidRPr="00C0342B" w:rsidRDefault="00997BC4" w:rsidP="00002113">
      <w:pPr>
        <w:pStyle w:val="Ttulo2"/>
        <w:spacing w:before="320" w:after="14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7.3 Indicaciones de sedación profunda por el equipo de endoscopias</w:t>
      </w:r>
    </w:p>
    <w:p w14:paraId="554712D9" w14:textId="77777777" w:rsidR="004E3CAC" w:rsidRPr="00C0342B" w:rsidRDefault="00651E59" w:rsidP="00002113">
      <w:pPr>
        <w:pStyle w:val="Ttulo3"/>
        <w:spacing w:before="220" w:after="10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a) Por el tipo de procedimiento</w:t>
      </w:r>
    </w:p>
    <w:p w14:paraId="22AAFDF4" w14:textId="77777777" w:rsidR="004E3CAC" w:rsidRPr="00161360" w:rsidRDefault="00997BC4" w:rsidP="00002113">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Procedimientos de complejidad y duración media: gastroscopias, colonoscopias, </w:t>
      </w:r>
      <w:proofErr w:type="spellStart"/>
      <w:r w:rsidRPr="00161360">
        <w:rPr>
          <w:rFonts w:ascii="Archivo ExtraLight" w:hAnsi="Archivo ExtraLight" w:cs="Archivo ExtraLight"/>
          <w:sz w:val="22"/>
          <w:szCs w:val="22"/>
        </w:rPr>
        <w:t>ecoendoscopias</w:t>
      </w:r>
      <w:proofErr w:type="spellEnd"/>
      <w:r w:rsidRPr="00161360">
        <w:rPr>
          <w:rFonts w:ascii="Archivo ExtraLight" w:hAnsi="Archivo ExtraLight" w:cs="Archivo ExtraLight"/>
          <w:sz w:val="22"/>
          <w:szCs w:val="22"/>
        </w:rPr>
        <w:t xml:space="preserve"> diagnósticas, polipectomías, dilataciones (excepto acalasia), prótesis de colon.</w:t>
      </w:r>
    </w:p>
    <w:p w14:paraId="14DD3B6E" w14:textId="77777777" w:rsidR="004E3CAC" w:rsidRPr="00C0342B" w:rsidRDefault="00997BC4" w:rsidP="00002113">
      <w:pPr>
        <w:pStyle w:val="Prrafodelista"/>
        <w:numPr>
          <w:ilvl w:val="0"/>
          <w:numId w:val="2"/>
        </w:numPr>
        <w:spacing w:after="100" w:line="276" w:lineRule="auto"/>
        <w:jc w:val="both"/>
        <w:rPr>
          <w:rFonts w:ascii="Archivo ExtraLight" w:hAnsi="Archivo ExtraLight" w:cs="Archivo ExtraLight"/>
          <w:color w:val="FFA43A"/>
          <w:sz w:val="22"/>
          <w:szCs w:val="22"/>
        </w:rPr>
      </w:pPr>
      <w:r w:rsidRPr="00161360">
        <w:rPr>
          <w:rFonts w:ascii="Archivo ExtraLight" w:hAnsi="Archivo ExtraLight" w:cs="Archivo ExtraLight"/>
          <w:sz w:val="22"/>
          <w:szCs w:val="22"/>
        </w:rPr>
        <w:t xml:space="preserve">Procedimientos complejos y de larga duración: CPRE, </w:t>
      </w:r>
      <w:proofErr w:type="spellStart"/>
      <w:r w:rsidRPr="00161360">
        <w:rPr>
          <w:rFonts w:ascii="Archivo ExtraLight" w:hAnsi="Archivo ExtraLight" w:cs="Archivo ExtraLight"/>
          <w:sz w:val="22"/>
          <w:szCs w:val="22"/>
        </w:rPr>
        <w:t>ecoendoscopia</w:t>
      </w:r>
      <w:proofErr w:type="spellEnd"/>
      <w:r w:rsidRPr="00161360">
        <w:rPr>
          <w:rFonts w:ascii="Archivo ExtraLight" w:hAnsi="Archivo ExtraLight" w:cs="Archivo ExtraLight"/>
          <w:sz w:val="22"/>
          <w:szCs w:val="22"/>
        </w:rPr>
        <w:t xml:space="preserve"> terapéutica, </w:t>
      </w:r>
      <w:proofErr w:type="spellStart"/>
      <w:r w:rsidRPr="00161360">
        <w:rPr>
          <w:rFonts w:ascii="Archivo ExtraLight" w:hAnsi="Archivo ExtraLight" w:cs="Archivo ExtraLight"/>
          <w:sz w:val="22"/>
          <w:szCs w:val="22"/>
        </w:rPr>
        <w:t>enteroscopia</w:t>
      </w:r>
      <w:proofErr w:type="spellEnd"/>
      <w:r w:rsidRPr="00161360">
        <w:rPr>
          <w:rFonts w:ascii="Archivo ExtraLight" w:hAnsi="Archivo ExtraLight" w:cs="Archivo ExtraLight"/>
          <w:sz w:val="22"/>
          <w:szCs w:val="22"/>
        </w:rPr>
        <w:t xml:space="preserve"> de doble balón, PEG de inicio, tratamientos con radiofrecuencia de larga duración (HALO 360°), disección submucosa endoscópica (ESD), miotomía endoscópica </w:t>
      </w:r>
      <w:proofErr w:type="spellStart"/>
      <w:r w:rsidRPr="00161360">
        <w:rPr>
          <w:rFonts w:ascii="Archivo ExtraLight" w:hAnsi="Archivo ExtraLight" w:cs="Archivo ExtraLight"/>
          <w:sz w:val="22"/>
          <w:szCs w:val="22"/>
        </w:rPr>
        <w:t>peroral</w:t>
      </w:r>
      <w:proofErr w:type="spellEnd"/>
      <w:r w:rsidRPr="00161360">
        <w:rPr>
          <w:rFonts w:ascii="Archivo ExtraLight" w:hAnsi="Archivo ExtraLight" w:cs="Archivo ExtraLight"/>
          <w:sz w:val="22"/>
          <w:szCs w:val="22"/>
        </w:rPr>
        <w:t xml:space="preserve"> (POEM). Se recomienda citarlos con apoyo anestésico presente en sala, dado su mayor riesgo. En ciertas condiciones el endoscopista puede seguir indicando y supervisando la sedación, pero no debe asumirla en solitario en estos procedimientos. </w:t>
      </w:r>
      <w:r w:rsidRPr="00C0342B">
        <w:rPr>
          <w:rFonts w:ascii="Archivo ExtraLight" w:hAnsi="Archivo ExtraLight" w:cs="Archivo ExtraLight"/>
          <w:i/>
          <w:iCs/>
          <w:color w:val="FFA43A"/>
          <w:sz w:val="22"/>
          <w:szCs w:val="22"/>
        </w:rPr>
        <w:t>[Confirme si su unidad dispone de apoyo anestésico para estos procedimientos; si no lo tiene de forma habitual, describa aquí cómo se individualiza la decisión]</w:t>
      </w:r>
    </w:p>
    <w:p w14:paraId="063DB0DF" w14:textId="77777777" w:rsidR="00BF529F" w:rsidRPr="00161360" w:rsidRDefault="00997BC4" w:rsidP="00002113">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En cualquier caso, se individualizará la actitud ante cada procedimiento y paciente.</w:t>
      </w:r>
    </w:p>
    <w:p w14:paraId="07B7208D" w14:textId="77777777" w:rsidR="00BF529F" w:rsidRPr="00161360" w:rsidRDefault="00BF529F" w:rsidP="00002113">
      <w:pPr>
        <w:spacing w:after="160" w:line="276" w:lineRule="auto"/>
        <w:jc w:val="both"/>
        <w:rPr>
          <w:rFonts w:ascii="Archivo ExtraLight" w:hAnsi="Archivo ExtraLight" w:cs="Archivo ExtraLight"/>
          <w:sz w:val="22"/>
          <w:szCs w:val="22"/>
        </w:rPr>
      </w:pPr>
    </w:p>
    <w:p w14:paraId="176863EB" w14:textId="77777777" w:rsidR="004E3CAC" w:rsidRPr="00C0342B" w:rsidRDefault="00651E59" w:rsidP="00002113">
      <w:pPr>
        <w:pStyle w:val="Ttulo3"/>
        <w:spacing w:before="220" w:after="10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b) Por las características del paciente</w:t>
      </w:r>
    </w:p>
    <w:p w14:paraId="1ACDE5AC" w14:textId="77777777" w:rsidR="004E3CAC" w:rsidRPr="00161360" w:rsidRDefault="00997BC4" w:rsidP="00002113">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Edad: por encima de 14 años y que cumpla los criterios ASA de indicación descritos a continuación. En menores de 14 años, siempre con anestesista o en UCI pediátrica. No existe límite superior de edad, debiéndose ajustar la dosis según condición clínica y ASA.</w:t>
      </w:r>
    </w:p>
    <w:p w14:paraId="67F0ACE8" w14:textId="77777777" w:rsidR="004E3CAC" w:rsidRPr="00161360" w:rsidRDefault="00997BC4" w:rsidP="00002113">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ASA I-II: sin restricciones adicionales, sin perjuicio de lo indicado en el apartado 4.1.</w:t>
      </w:r>
    </w:p>
    <w:p w14:paraId="17262DAE" w14:textId="77777777" w:rsidR="004E3CAC" w:rsidRPr="00161360" w:rsidRDefault="00997BC4" w:rsidP="00002113">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ASA III: con ajuste de dosis y vigilancia reforzada. En los ASA III inestables o con SAOS, valorar cada caso de forma individualizada (uso de OAF o apoyo anestésico).</w:t>
      </w:r>
    </w:p>
    <w:p w14:paraId="2EB3272E" w14:textId="77777777" w:rsidR="00426BAC" w:rsidRPr="00161360" w:rsidRDefault="00997BC4" w:rsidP="00A04383">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ASA IV: no indicado (véase 4.4).</w:t>
      </w:r>
    </w:p>
    <w:p w14:paraId="29F2E7AE" w14:textId="77777777" w:rsidR="00A04383" w:rsidRPr="00161360" w:rsidRDefault="00A04383" w:rsidP="00A04383">
      <w:pPr>
        <w:pStyle w:val="Prrafodelista"/>
        <w:spacing w:after="100" w:line="276" w:lineRule="auto"/>
        <w:ind w:left="420"/>
        <w:jc w:val="both"/>
        <w:rPr>
          <w:rFonts w:ascii="Archivo ExtraLight" w:hAnsi="Archivo ExtraLight" w:cs="Archivo ExtraLight"/>
          <w:sz w:val="22"/>
          <w:szCs w:val="22"/>
        </w:rPr>
      </w:pPr>
    </w:p>
    <w:p w14:paraId="66AEBB20" w14:textId="77777777" w:rsidR="00A04383" w:rsidRPr="00161360" w:rsidRDefault="00651E59" w:rsidP="00A04383">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b/>
          <w:bCs/>
          <w:sz w:val="22"/>
          <w:szCs w:val="22"/>
        </w:rPr>
        <w:t>Los criterios de procedimiento y los de paciente son acumulativos.</w:t>
      </w:r>
      <w:r w:rsidRPr="00161360">
        <w:rPr>
          <w:rFonts w:ascii="Archivo ExtraLight" w:hAnsi="Archivo ExtraLight" w:cs="Archivo ExtraLight"/>
          <w:sz w:val="22"/>
          <w:szCs w:val="22"/>
        </w:rPr>
        <w:t xml:space="preserve"> La sedación profunda administrada por el equipo de endoscopias solo está contemplada en este protocolo cuando se cumplen ambos a la vez: que el procedimiento figure entre los de complejidad y duración media (primer grupo del apartado “a”) y que el paciente cumpla los criterios de edad y ASA recogidos en el apartado “b”. Si solo se cumple uno de los dos, la sedación requiere una valoración individualizada adicional.</w:t>
      </w:r>
    </w:p>
    <w:p w14:paraId="584DAE50" w14:textId="77777777" w:rsidR="00651E59" w:rsidRPr="00161360" w:rsidRDefault="00651E59" w:rsidP="00A04383">
      <w:pPr>
        <w:spacing w:after="160" w:line="276" w:lineRule="auto"/>
        <w:jc w:val="both"/>
        <w:rPr>
          <w:rFonts w:ascii="Archivo ExtraLight" w:hAnsi="Archivo ExtraLight" w:cs="Archivo ExtraLight"/>
          <w:sz w:val="22"/>
          <w:szCs w:val="22"/>
        </w:rPr>
      </w:pPr>
    </w:p>
    <w:p w14:paraId="37251E49" w14:textId="77777777" w:rsidR="004E3CAC" w:rsidRPr="00C0342B" w:rsidRDefault="00997BC4" w:rsidP="00002113">
      <w:pPr>
        <w:pStyle w:val="Ttulo2"/>
        <w:spacing w:before="320" w:after="14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7.4 Situaciones especiales</w:t>
      </w:r>
    </w:p>
    <w:p w14:paraId="2607AD97" w14:textId="77777777" w:rsidR="004E3CAC" w:rsidRPr="00C0342B" w:rsidRDefault="00997BC4" w:rsidP="00002113">
      <w:pPr>
        <w:pStyle w:val="Ttulo3"/>
        <w:spacing w:before="220" w:after="10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Endoscopia urgente</w:t>
      </w:r>
    </w:p>
    <w:p w14:paraId="0F9B2FE2" w14:textId="77777777" w:rsidR="004E3CAC" w:rsidRPr="00161360" w:rsidRDefault="00997BC4" w:rsidP="00002113">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lastRenderedPageBreak/>
        <w:t>Sedación moderada si existe estabilidad hemodinámica; valorar realizar el procedimiento sin sedación si el paciente colabora. Se recomienda la presencia de anestesista cuando exista riesgo de aspiración, inestabilidad hemodinámica o comorbilidad significativa.</w:t>
      </w:r>
    </w:p>
    <w:p w14:paraId="4F88A327" w14:textId="77777777" w:rsidR="004E3CAC" w:rsidRPr="00C0342B" w:rsidRDefault="00997BC4" w:rsidP="00002113">
      <w:pPr>
        <w:pStyle w:val="Ttulo3"/>
        <w:spacing w:before="220" w:after="10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Embarazo</w:t>
      </w:r>
    </w:p>
    <w:p w14:paraId="47E7F5E5" w14:textId="77777777" w:rsidR="004E3CAC" w:rsidRPr="00161360" w:rsidRDefault="00997BC4" w:rsidP="00002113">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Consulta previa con Anestesiología y Obstetricia, e incorporación de la preferencia de la paciente a la decisión. El propofol atraviesa la placenta y puede causar depresión neonatal; según la ficha técnica, solo debe utilizarse si es absolutamente necesario, por lo que se reservará para cuando no existan alternativas más seguras.</w:t>
      </w:r>
    </w:p>
    <w:p w14:paraId="28D12D28" w14:textId="77777777" w:rsidR="00A04383" w:rsidRPr="00161360" w:rsidRDefault="00A04383" w:rsidP="00002113">
      <w:pPr>
        <w:spacing w:after="160" w:line="276" w:lineRule="auto"/>
        <w:jc w:val="both"/>
        <w:rPr>
          <w:rFonts w:ascii="Archivo ExtraLight" w:hAnsi="Archivo ExtraLight" w:cs="Archivo ExtraLight"/>
          <w:sz w:val="22"/>
          <w:szCs w:val="22"/>
        </w:rPr>
      </w:pPr>
    </w:p>
    <w:p w14:paraId="7BBE1EA3" w14:textId="77777777" w:rsidR="004E3CAC" w:rsidRPr="00C0342B" w:rsidRDefault="00997BC4" w:rsidP="00A04383">
      <w:pPr>
        <w:pStyle w:val="Ttulo2"/>
        <w:spacing w:before="320" w:after="14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7.5 Manejo de la vía aérea y complicaciones</w:t>
      </w:r>
    </w:p>
    <w:p w14:paraId="47AA3B84" w14:textId="77777777" w:rsidR="004E3CAC" w:rsidRPr="00161360" w:rsidRDefault="00997BC4" w:rsidP="00A04383">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La hipoxemia (SpO₂ &lt; 90%) es la complicación respiratoria más frecuente en la sedación profunda.</w:t>
      </w:r>
    </w:p>
    <w:p w14:paraId="68BA0ACC" w14:textId="77777777" w:rsidR="004E3CAC" w:rsidRPr="00161360" w:rsidRDefault="00997BC4" w:rsidP="00A04383">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b/>
          <w:bCs/>
          <w:sz w:val="22"/>
          <w:szCs w:val="22"/>
        </w:rPr>
        <w:t>Actuación ante hipoxemia o depresión respiratoria:</w:t>
      </w:r>
    </w:p>
    <w:p w14:paraId="443D17C4" w14:textId="77777777" w:rsidR="004E3CAC" w:rsidRPr="00161360" w:rsidRDefault="00997BC4" w:rsidP="00A04383">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Reducir o suspender la infusión de propofol.</w:t>
      </w:r>
    </w:p>
    <w:p w14:paraId="76C58401" w14:textId="77777777" w:rsidR="004E3CAC" w:rsidRPr="00161360" w:rsidRDefault="00997BC4" w:rsidP="00A04383">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Estimular al paciente con maniobras verbales o táctiles.</w:t>
      </w:r>
    </w:p>
    <w:p w14:paraId="12661759" w14:textId="77777777" w:rsidR="004E3CAC" w:rsidRPr="00161360" w:rsidRDefault="00997BC4" w:rsidP="00A04383">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Si no revierte: retirar el endoscopio, aspirar secreciones, maniobra frente-mentón, colocar cánula de Guedel si es necesario, y aumentar el soporte de oxígeno (mascarilla de alto flujo o, si está disponible, OAF).</w:t>
      </w:r>
    </w:p>
    <w:p w14:paraId="719A63E8" w14:textId="77777777" w:rsidR="006B4EDA" w:rsidRPr="00161360" w:rsidRDefault="00997BC4">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Si persiste la hipoventilación o hay apnea: ventilación manual con bolsa </w:t>
      </w:r>
      <w:proofErr w:type="spellStart"/>
      <w:r w:rsidRPr="00161360">
        <w:rPr>
          <w:rFonts w:ascii="Archivo ExtraLight" w:hAnsi="Archivo ExtraLight" w:cs="Archivo ExtraLight"/>
          <w:sz w:val="22"/>
          <w:szCs w:val="22"/>
        </w:rPr>
        <w:t>autohinchable</w:t>
      </w:r>
      <w:proofErr w:type="spellEnd"/>
      <w:r w:rsidRPr="00161360">
        <w:rPr>
          <w:rFonts w:ascii="Archivo ExtraLight" w:hAnsi="Archivo ExtraLight" w:cs="Archivo ExtraLight"/>
          <w:sz w:val="22"/>
          <w:szCs w:val="22"/>
        </w:rPr>
        <w:t xml:space="preserve"> (tipo Ambú) y mascarilla facial conectada a oxígeno, manteniendo la vía aérea permeable.</w:t>
      </w:r>
    </w:p>
    <w:p w14:paraId="4AF7AC6C" w14:textId="77777777" w:rsidR="004E3CAC" w:rsidRPr="00161360" w:rsidRDefault="00997BC4" w:rsidP="00A04383">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Si persiste: valorar el uso de mascarilla laríngea y reversión con </w:t>
      </w:r>
      <w:proofErr w:type="spellStart"/>
      <w:r w:rsidRPr="00161360">
        <w:rPr>
          <w:rFonts w:ascii="Archivo ExtraLight" w:hAnsi="Archivo ExtraLight" w:cs="Archivo ExtraLight"/>
          <w:sz w:val="22"/>
          <w:szCs w:val="22"/>
        </w:rPr>
        <w:t>flumazenilo</w:t>
      </w:r>
      <w:proofErr w:type="spellEnd"/>
      <w:r w:rsidRPr="00161360">
        <w:rPr>
          <w:rFonts w:ascii="Archivo ExtraLight" w:hAnsi="Archivo ExtraLight" w:cs="Archivo ExtraLight"/>
          <w:sz w:val="22"/>
          <w:szCs w:val="22"/>
        </w:rPr>
        <w:t xml:space="preserve"> (si se usó midazolam o </w:t>
      </w:r>
      <w:proofErr w:type="spellStart"/>
      <w:r w:rsidRPr="00161360">
        <w:rPr>
          <w:rFonts w:ascii="Archivo ExtraLight" w:hAnsi="Archivo ExtraLight" w:cs="Archivo ExtraLight"/>
          <w:sz w:val="22"/>
          <w:szCs w:val="22"/>
        </w:rPr>
        <w:t>remimazolam</w:t>
      </w:r>
      <w:proofErr w:type="spellEnd"/>
      <w:r w:rsidRPr="00161360">
        <w:rPr>
          <w:rFonts w:ascii="Archivo ExtraLight" w:hAnsi="Archivo ExtraLight" w:cs="Archivo ExtraLight"/>
          <w:sz w:val="22"/>
          <w:szCs w:val="22"/>
        </w:rPr>
        <w:t>) o naloxona (si se usaron opiáceos).</w:t>
      </w:r>
    </w:p>
    <w:p w14:paraId="1A9E8FDE" w14:textId="77777777" w:rsidR="004E3CAC" w:rsidRPr="00161360" w:rsidRDefault="00997BC4" w:rsidP="00A04383">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En caso de apnea sostenida o parada cardiorrespiratoria: activar el carro de paradas, iniciar RCP y avisar a Anestesia/UCI.</w:t>
      </w:r>
    </w:p>
    <w:p w14:paraId="5001E8F3" w14:textId="77777777" w:rsidR="00BF529F" w:rsidRPr="00161360" w:rsidRDefault="00BF529F" w:rsidP="00A04383">
      <w:pPr>
        <w:spacing w:after="160" w:line="276" w:lineRule="auto"/>
        <w:jc w:val="both"/>
        <w:rPr>
          <w:rFonts w:ascii="Archivo ExtraLight" w:hAnsi="Archivo ExtraLight" w:cs="Archivo ExtraLight"/>
          <w:b/>
          <w:bCs/>
          <w:sz w:val="22"/>
          <w:szCs w:val="22"/>
        </w:rPr>
      </w:pPr>
    </w:p>
    <w:p w14:paraId="7452A00B" w14:textId="77777777" w:rsidR="004E3CAC" w:rsidRPr="00161360" w:rsidRDefault="00997BC4" w:rsidP="00A04383">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b/>
          <w:bCs/>
          <w:sz w:val="22"/>
          <w:szCs w:val="22"/>
        </w:rPr>
        <w:t xml:space="preserve">Problemas frecuentes adicionales (y posibles soluciones): </w:t>
      </w:r>
      <w:r w:rsidRPr="00161360">
        <w:rPr>
          <w:rFonts w:ascii="Archivo ExtraLight" w:hAnsi="Archivo ExtraLight" w:cs="Archivo ExtraLight"/>
          <w:sz w:val="22"/>
          <w:szCs w:val="22"/>
        </w:rPr>
        <w:t xml:space="preserve">relajación de la musculatura submaxilar con caída de la lengua (tracción mandibular, cánula de Guedel); bradicardia significativa (atropina 0,5-1 mg </w:t>
      </w:r>
      <w:proofErr w:type="spellStart"/>
      <w:r w:rsidRPr="00161360">
        <w:rPr>
          <w:rFonts w:ascii="Archivo ExtraLight" w:hAnsi="Archivo ExtraLight" w:cs="Archivo ExtraLight"/>
          <w:sz w:val="22"/>
          <w:szCs w:val="22"/>
        </w:rPr>
        <w:t>i.v</w:t>
      </w:r>
      <w:proofErr w:type="spellEnd"/>
      <w:r w:rsidRPr="00161360">
        <w:rPr>
          <w:rFonts w:ascii="Archivo ExtraLight" w:hAnsi="Archivo ExtraLight" w:cs="Archivo ExtraLight"/>
          <w:sz w:val="22"/>
          <w:szCs w:val="22"/>
        </w:rPr>
        <w:t>.); hipotensión (reducir propofol, carga de volumen, valorar vasopresores si persiste).</w:t>
      </w:r>
    </w:p>
    <w:p w14:paraId="415339F7" w14:textId="77777777" w:rsidR="00BF529F" w:rsidRPr="00161360" w:rsidRDefault="00BF529F" w:rsidP="00181DFF">
      <w:pPr>
        <w:spacing w:after="160" w:line="276" w:lineRule="auto"/>
        <w:rPr>
          <w:rFonts w:ascii="Archivo ExtraLight" w:hAnsi="Archivo ExtraLight" w:cs="Archivo ExtraLight"/>
          <w:sz w:val="22"/>
          <w:szCs w:val="22"/>
        </w:rPr>
      </w:pPr>
    </w:p>
    <w:p w14:paraId="30E3A022" w14:textId="77777777" w:rsidR="004E3CAC" w:rsidRPr="00C0342B" w:rsidRDefault="00997BC4" w:rsidP="00181DFF">
      <w:pPr>
        <w:pStyle w:val="Ttulo2"/>
        <w:spacing w:before="320" w:after="14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7.6 Criterios de alta y recuperación</w:t>
      </w:r>
    </w:p>
    <w:p w14:paraId="2783054E" w14:textId="77777777" w:rsidR="004E3CAC" w:rsidRPr="00161360" w:rsidRDefault="00997BC4" w:rsidP="004D1113">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Concluido el procedimiento, el paciente pasa a la sala de recuperación bajo monitorización continua y vigilancia de enfermería. El alta se otorga una vez alcanzada una puntuación de 9 o más en la Escala de Aldrete Modificada: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33"/>
        <w:gridCol w:w="2359"/>
        <w:gridCol w:w="2385"/>
        <w:gridCol w:w="2273"/>
      </w:tblGrid>
      <w:tr w:rsidR="004E3CAC" w:rsidRPr="00161360" w14:paraId="5CA8D475" w14:textId="77777777">
        <w:trPr>
          <w:tblHeader/>
        </w:trPr>
        <w:tc>
          <w:tcPr>
            <w:tcW w:w="2600" w:type="dxa"/>
            <w:shd w:val="clear" w:color="auto" w:fill="EAEEF1"/>
            <w:tcMar>
              <w:top w:w="80" w:type="dxa"/>
              <w:left w:w="100" w:type="dxa"/>
              <w:bottom w:w="80" w:type="dxa"/>
              <w:right w:w="100" w:type="dxa"/>
            </w:tcMar>
          </w:tcPr>
          <w:p w14:paraId="686F49B7"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b/>
                <w:bCs/>
                <w:sz w:val="22"/>
                <w:szCs w:val="22"/>
              </w:rPr>
              <w:t>Parámetro</w:t>
            </w:r>
          </w:p>
        </w:tc>
        <w:tc>
          <w:tcPr>
            <w:tcW w:w="2600" w:type="dxa"/>
            <w:shd w:val="clear" w:color="auto" w:fill="EAEEF1"/>
            <w:tcMar>
              <w:top w:w="80" w:type="dxa"/>
              <w:left w:w="100" w:type="dxa"/>
              <w:bottom w:w="80" w:type="dxa"/>
              <w:right w:w="100" w:type="dxa"/>
            </w:tcMar>
          </w:tcPr>
          <w:p w14:paraId="106BDD28"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b/>
                <w:bCs/>
                <w:sz w:val="22"/>
                <w:szCs w:val="22"/>
              </w:rPr>
              <w:t>2 puntos</w:t>
            </w:r>
          </w:p>
        </w:tc>
        <w:tc>
          <w:tcPr>
            <w:tcW w:w="2600" w:type="dxa"/>
            <w:shd w:val="clear" w:color="auto" w:fill="EAEEF1"/>
            <w:tcMar>
              <w:top w:w="80" w:type="dxa"/>
              <w:left w:w="100" w:type="dxa"/>
              <w:bottom w:w="80" w:type="dxa"/>
              <w:right w:w="100" w:type="dxa"/>
            </w:tcMar>
          </w:tcPr>
          <w:p w14:paraId="150FFBAF"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b/>
                <w:bCs/>
                <w:sz w:val="22"/>
                <w:szCs w:val="22"/>
              </w:rPr>
              <w:t>1 punto</w:t>
            </w:r>
          </w:p>
        </w:tc>
        <w:tc>
          <w:tcPr>
            <w:tcW w:w="2600" w:type="dxa"/>
            <w:shd w:val="clear" w:color="auto" w:fill="EAEEF1"/>
            <w:tcMar>
              <w:top w:w="80" w:type="dxa"/>
              <w:left w:w="100" w:type="dxa"/>
              <w:bottom w:w="80" w:type="dxa"/>
              <w:right w:w="100" w:type="dxa"/>
            </w:tcMar>
          </w:tcPr>
          <w:p w14:paraId="21372C3D"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b/>
                <w:bCs/>
                <w:sz w:val="22"/>
                <w:szCs w:val="22"/>
              </w:rPr>
              <w:t>0 puntos</w:t>
            </w:r>
          </w:p>
        </w:tc>
      </w:tr>
      <w:tr w:rsidR="004E3CAC" w:rsidRPr="00161360" w14:paraId="794276E0" w14:textId="77777777">
        <w:tc>
          <w:tcPr>
            <w:tcW w:w="2600" w:type="dxa"/>
            <w:tcMar>
              <w:top w:w="80" w:type="dxa"/>
              <w:left w:w="100" w:type="dxa"/>
              <w:bottom w:w="80" w:type="dxa"/>
              <w:right w:w="100" w:type="dxa"/>
            </w:tcMar>
          </w:tcPr>
          <w:p w14:paraId="53EB8477"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Consciencia</w:t>
            </w:r>
          </w:p>
        </w:tc>
        <w:tc>
          <w:tcPr>
            <w:tcW w:w="2600" w:type="dxa"/>
            <w:tcMar>
              <w:top w:w="80" w:type="dxa"/>
              <w:left w:w="100" w:type="dxa"/>
              <w:bottom w:w="80" w:type="dxa"/>
              <w:right w:w="100" w:type="dxa"/>
            </w:tcMar>
          </w:tcPr>
          <w:p w14:paraId="0D459BA8"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Despierto</w:t>
            </w:r>
          </w:p>
        </w:tc>
        <w:tc>
          <w:tcPr>
            <w:tcW w:w="2600" w:type="dxa"/>
            <w:tcMar>
              <w:top w:w="80" w:type="dxa"/>
              <w:left w:w="100" w:type="dxa"/>
              <w:bottom w:w="80" w:type="dxa"/>
              <w:right w:w="100" w:type="dxa"/>
            </w:tcMar>
          </w:tcPr>
          <w:p w14:paraId="42712804"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Responde a estímulos</w:t>
            </w:r>
          </w:p>
        </w:tc>
        <w:tc>
          <w:tcPr>
            <w:tcW w:w="2600" w:type="dxa"/>
            <w:tcMar>
              <w:top w:w="80" w:type="dxa"/>
              <w:left w:w="100" w:type="dxa"/>
              <w:bottom w:w="80" w:type="dxa"/>
              <w:right w:w="100" w:type="dxa"/>
            </w:tcMar>
          </w:tcPr>
          <w:p w14:paraId="0A18ECD6"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No responde</w:t>
            </w:r>
          </w:p>
        </w:tc>
      </w:tr>
      <w:tr w:rsidR="004E3CAC" w:rsidRPr="00161360" w14:paraId="7BC2A4C2" w14:textId="77777777">
        <w:tc>
          <w:tcPr>
            <w:tcW w:w="2600" w:type="dxa"/>
            <w:tcMar>
              <w:top w:w="80" w:type="dxa"/>
              <w:left w:w="100" w:type="dxa"/>
              <w:bottom w:w="80" w:type="dxa"/>
              <w:right w:w="100" w:type="dxa"/>
            </w:tcMar>
          </w:tcPr>
          <w:p w14:paraId="05D764DE"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Actividad</w:t>
            </w:r>
          </w:p>
        </w:tc>
        <w:tc>
          <w:tcPr>
            <w:tcW w:w="2600" w:type="dxa"/>
            <w:tcMar>
              <w:top w:w="80" w:type="dxa"/>
              <w:left w:w="100" w:type="dxa"/>
              <w:bottom w:w="80" w:type="dxa"/>
              <w:right w:w="100" w:type="dxa"/>
            </w:tcMar>
          </w:tcPr>
          <w:p w14:paraId="334544EF"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Mueve 4 extremidades</w:t>
            </w:r>
          </w:p>
        </w:tc>
        <w:tc>
          <w:tcPr>
            <w:tcW w:w="2600" w:type="dxa"/>
            <w:tcMar>
              <w:top w:w="80" w:type="dxa"/>
              <w:left w:w="100" w:type="dxa"/>
              <w:bottom w:w="80" w:type="dxa"/>
              <w:right w:w="100" w:type="dxa"/>
            </w:tcMar>
          </w:tcPr>
          <w:p w14:paraId="037245B7"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Mueve 2 extremidades</w:t>
            </w:r>
          </w:p>
        </w:tc>
        <w:tc>
          <w:tcPr>
            <w:tcW w:w="2600" w:type="dxa"/>
            <w:tcMar>
              <w:top w:w="80" w:type="dxa"/>
              <w:left w:w="100" w:type="dxa"/>
              <w:bottom w:w="80" w:type="dxa"/>
              <w:right w:w="100" w:type="dxa"/>
            </w:tcMar>
          </w:tcPr>
          <w:p w14:paraId="51E93C7F"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No mueve</w:t>
            </w:r>
          </w:p>
        </w:tc>
      </w:tr>
      <w:tr w:rsidR="004E3CAC" w:rsidRPr="00161360" w14:paraId="4ABA11EC" w14:textId="77777777">
        <w:tc>
          <w:tcPr>
            <w:tcW w:w="2600" w:type="dxa"/>
            <w:tcMar>
              <w:top w:w="80" w:type="dxa"/>
              <w:left w:w="100" w:type="dxa"/>
              <w:bottom w:w="80" w:type="dxa"/>
              <w:right w:w="100" w:type="dxa"/>
            </w:tcMar>
          </w:tcPr>
          <w:p w14:paraId="75379165"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lastRenderedPageBreak/>
              <w:t>Sat O₂</w:t>
            </w:r>
          </w:p>
        </w:tc>
        <w:tc>
          <w:tcPr>
            <w:tcW w:w="2600" w:type="dxa"/>
            <w:tcMar>
              <w:top w:w="80" w:type="dxa"/>
              <w:left w:w="100" w:type="dxa"/>
              <w:bottom w:w="80" w:type="dxa"/>
              <w:right w:w="100" w:type="dxa"/>
            </w:tcMar>
          </w:tcPr>
          <w:p w14:paraId="6FD1D7AF"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&gt;92% con aire</w:t>
            </w:r>
          </w:p>
        </w:tc>
        <w:tc>
          <w:tcPr>
            <w:tcW w:w="2600" w:type="dxa"/>
            <w:tcMar>
              <w:top w:w="80" w:type="dxa"/>
              <w:left w:w="100" w:type="dxa"/>
              <w:bottom w:w="80" w:type="dxa"/>
              <w:right w:w="100" w:type="dxa"/>
            </w:tcMar>
          </w:tcPr>
          <w:p w14:paraId="604C487D"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&gt;92% con O₂</w:t>
            </w:r>
          </w:p>
        </w:tc>
        <w:tc>
          <w:tcPr>
            <w:tcW w:w="2600" w:type="dxa"/>
            <w:tcMar>
              <w:top w:w="80" w:type="dxa"/>
              <w:left w:w="100" w:type="dxa"/>
              <w:bottom w:w="80" w:type="dxa"/>
              <w:right w:w="100" w:type="dxa"/>
            </w:tcMar>
          </w:tcPr>
          <w:p w14:paraId="6985BD3F"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&lt;92% con O₂</w:t>
            </w:r>
          </w:p>
        </w:tc>
      </w:tr>
      <w:tr w:rsidR="004E3CAC" w:rsidRPr="00161360" w14:paraId="75E6837E" w14:textId="77777777">
        <w:tc>
          <w:tcPr>
            <w:tcW w:w="2600" w:type="dxa"/>
            <w:tcMar>
              <w:top w:w="80" w:type="dxa"/>
              <w:left w:w="100" w:type="dxa"/>
              <w:bottom w:w="80" w:type="dxa"/>
              <w:right w:w="100" w:type="dxa"/>
            </w:tcMar>
          </w:tcPr>
          <w:p w14:paraId="5F4E641F"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Respiración</w:t>
            </w:r>
          </w:p>
        </w:tc>
        <w:tc>
          <w:tcPr>
            <w:tcW w:w="2600" w:type="dxa"/>
            <w:tcMar>
              <w:top w:w="80" w:type="dxa"/>
              <w:left w:w="100" w:type="dxa"/>
              <w:bottom w:w="80" w:type="dxa"/>
              <w:right w:w="100" w:type="dxa"/>
            </w:tcMar>
          </w:tcPr>
          <w:p w14:paraId="5D63EDD9" w14:textId="77777777" w:rsidR="004E3CAC" w:rsidRPr="00161360" w:rsidRDefault="00997BC4" w:rsidP="00181DFF">
            <w:pPr>
              <w:spacing w:line="276" w:lineRule="auto"/>
              <w:rPr>
                <w:rFonts w:ascii="Archivo ExtraLight" w:hAnsi="Archivo ExtraLight" w:cs="Archivo ExtraLight"/>
                <w:sz w:val="22"/>
                <w:szCs w:val="22"/>
              </w:rPr>
            </w:pPr>
            <w:proofErr w:type="spellStart"/>
            <w:r w:rsidRPr="00161360">
              <w:rPr>
                <w:rFonts w:ascii="Archivo ExtraLight" w:hAnsi="Archivo ExtraLight" w:cs="Archivo ExtraLight"/>
                <w:sz w:val="22"/>
                <w:szCs w:val="22"/>
              </w:rPr>
              <w:t>Eupnea</w:t>
            </w:r>
            <w:proofErr w:type="spellEnd"/>
          </w:p>
        </w:tc>
        <w:tc>
          <w:tcPr>
            <w:tcW w:w="2600" w:type="dxa"/>
            <w:tcMar>
              <w:top w:w="80" w:type="dxa"/>
              <w:left w:w="100" w:type="dxa"/>
              <w:bottom w:w="80" w:type="dxa"/>
              <w:right w:w="100" w:type="dxa"/>
            </w:tcMar>
          </w:tcPr>
          <w:p w14:paraId="5DA88FF2"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Disnea / hipoventilación</w:t>
            </w:r>
          </w:p>
        </w:tc>
        <w:tc>
          <w:tcPr>
            <w:tcW w:w="2600" w:type="dxa"/>
            <w:tcMar>
              <w:top w:w="80" w:type="dxa"/>
              <w:left w:w="100" w:type="dxa"/>
              <w:bottom w:w="80" w:type="dxa"/>
              <w:right w:w="100" w:type="dxa"/>
            </w:tcMar>
          </w:tcPr>
          <w:p w14:paraId="26A72942"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Apnea</w:t>
            </w:r>
          </w:p>
        </w:tc>
      </w:tr>
      <w:tr w:rsidR="004E3CAC" w:rsidRPr="00161360" w14:paraId="6786EDAC" w14:textId="77777777">
        <w:tc>
          <w:tcPr>
            <w:tcW w:w="2600" w:type="dxa"/>
            <w:tcMar>
              <w:top w:w="80" w:type="dxa"/>
              <w:left w:w="100" w:type="dxa"/>
              <w:bottom w:w="80" w:type="dxa"/>
              <w:right w:w="100" w:type="dxa"/>
            </w:tcMar>
          </w:tcPr>
          <w:p w14:paraId="274F73A8"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TA actual/basal</w:t>
            </w:r>
          </w:p>
        </w:tc>
        <w:tc>
          <w:tcPr>
            <w:tcW w:w="2600" w:type="dxa"/>
            <w:tcMar>
              <w:top w:w="80" w:type="dxa"/>
              <w:left w:w="100" w:type="dxa"/>
              <w:bottom w:w="80" w:type="dxa"/>
              <w:right w:w="100" w:type="dxa"/>
            </w:tcMar>
          </w:tcPr>
          <w:p w14:paraId="2E14C9AD"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Variación &lt;20%</w:t>
            </w:r>
          </w:p>
        </w:tc>
        <w:tc>
          <w:tcPr>
            <w:tcW w:w="2600" w:type="dxa"/>
            <w:tcMar>
              <w:top w:w="80" w:type="dxa"/>
              <w:left w:w="100" w:type="dxa"/>
              <w:bottom w:w="80" w:type="dxa"/>
              <w:right w:w="100" w:type="dxa"/>
            </w:tcMar>
          </w:tcPr>
          <w:p w14:paraId="6E89BCEC"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Variación 20-50%</w:t>
            </w:r>
          </w:p>
        </w:tc>
        <w:tc>
          <w:tcPr>
            <w:tcW w:w="2600" w:type="dxa"/>
            <w:tcMar>
              <w:top w:w="80" w:type="dxa"/>
              <w:left w:w="100" w:type="dxa"/>
              <w:bottom w:w="80" w:type="dxa"/>
              <w:right w:w="100" w:type="dxa"/>
            </w:tcMar>
          </w:tcPr>
          <w:p w14:paraId="3521AA16"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Variación &gt;50%</w:t>
            </w:r>
          </w:p>
        </w:tc>
      </w:tr>
    </w:tbl>
    <w:p w14:paraId="3E58DDF7" w14:textId="77777777" w:rsidR="004E3CAC" w:rsidRPr="00161360" w:rsidRDefault="004E3CAC" w:rsidP="00181DFF">
      <w:pPr>
        <w:spacing w:after="160" w:line="276" w:lineRule="auto"/>
        <w:rPr>
          <w:rFonts w:ascii="Archivo ExtraLight" w:hAnsi="Archivo ExtraLight" w:cs="Archivo ExtraLight"/>
          <w:sz w:val="22"/>
          <w:szCs w:val="22"/>
        </w:rPr>
      </w:pPr>
    </w:p>
    <w:p w14:paraId="72481795" w14:textId="77777777" w:rsidR="004E3CAC" w:rsidRPr="00161360" w:rsidRDefault="00997BC4" w:rsidP="004D1113">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u w:val="single"/>
        </w:rPr>
        <w:t>Responsabilidad y delegación del alta</w:t>
      </w:r>
      <w:r w:rsidRPr="00161360">
        <w:rPr>
          <w:rFonts w:ascii="Archivo ExtraLight" w:hAnsi="Archivo ExtraLight" w:cs="Archivo ExtraLight"/>
          <w:sz w:val="22"/>
          <w:szCs w:val="22"/>
        </w:rPr>
        <w:t>: el endoscopista mantiene la responsabilidad medicolegal global del proceso de sedación, pero puede delegar la decisión de alta en personal de enfermería formado que aplique criterios estandarizados, como la escala de Aldrete (recomendación condicional de la ESGE).</w:t>
      </w:r>
    </w:p>
    <w:p w14:paraId="52BD9A93" w14:textId="77777777" w:rsidR="004E3CAC" w:rsidRPr="00161360" w:rsidRDefault="00997BC4" w:rsidP="004D1113">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Al alta se entregará al paciente información oral y escrita con la restricción explícita de conducir vehículos o tomar decisiones de importancia durante las siguientes 8 horas (la ficha técnica del propofol indica que, por lo general, a partir de las 12 horas sus efectos no son detectables, por lo que el plazo puede ampliarse según la dosis, la duración de la sedación y las características del paciente), datos de contacto ante posibles complicaciones, y se verificará que acude acompañado (recomendación fuer</w:t>
      </w:r>
      <w:r w:rsidRPr="00161360">
        <w:rPr>
          <w:rFonts w:ascii="Archivo ExtraLight" w:hAnsi="Archivo ExtraLight" w:cs="Archivo ExtraLight"/>
          <w:sz w:val="22"/>
          <w:szCs w:val="22"/>
        </w:rPr>
        <w:t xml:space="preserve">te de la ESGE). Las recomendaciones se pueden adjuntar en el propio informe de la endoscopia o en un documento aparte. </w:t>
      </w:r>
    </w:p>
    <w:p w14:paraId="4EDFE586" w14:textId="77777777" w:rsidR="004D1113" w:rsidRPr="00161360" w:rsidRDefault="004D1113" w:rsidP="004D1113">
      <w:pPr>
        <w:spacing w:after="160" w:line="276" w:lineRule="auto"/>
        <w:jc w:val="both"/>
        <w:rPr>
          <w:rFonts w:ascii="Archivo ExtraLight" w:hAnsi="Archivo ExtraLight" w:cs="Archivo ExtraLight"/>
          <w:sz w:val="22"/>
          <w:szCs w:val="22"/>
        </w:rPr>
      </w:pPr>
    </w:p>
    <w:p w14:paraId="7E7523A3" w14:textId="77777777" w:rsidR="004E3CAC" w:rsidRPr="00C0342B" w:rsidRDefault="00997BC4" w:rsidP="005A34AA">
      <w:pPr>
        <w:pStyle w:val="Ttulo2"/>
        <w:spacing w:before="320" w:after="14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7.7 Registro</w:t>
      </w:r>
    </w:p>
    <w:p w14:paraId="6EE51BDF" w14:textId="77777777" w:rsidR="004E3CAC" w:rsidRPr="00161360" w:rsidRDefault="00997BC4" w:rsidP="005A34AA">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El registro oficial se realiza en los sistemas de la información de cada centro y debe incluir: clasificación ASA del paciente, fármacos administrados con sus dosis, constantes de monitorización, incidencias y puntuación de Aldrete al alta. La hoja de registro anexa al final del presente documento puede utilizarse como soporte en papel durante el procedimiento y como guía para el volcado posterior al sistema electrónico.</w:t>
      </w:r>
    </w:p>
    <w:p w14:paraId="3B1DDC4C" w14:textId="77777777" w:rsidR="00A40B16" w:rsidRPr="00161360" w:rsidRDefault="00A40B16" w:rsidP="00181DFF">
      <w:pPr>
        <w:spacing w:after="160" w:line="276" w:lineRule="auto"/>
        <w:rPr>
          <w:rFonts w:ascii="Archivo ExtraLight" w:hAnsi="Archivo ExtraLight" w:cs="Archivo ExtraLight"/>
          <w:sz w:val="22"/>
          <w:szCs w:val="22"/>
        </w:rPr>
      </w:pPr>
    </w:p>
    <w:p w14:paraId="03991C57" w14:textId="77777777" w:rsidR="004E3CAC" w:rsidRPr="00C0342B" w:rsidRDefault="00997BC4" w:rsidP="00181DFF">
      <w:pPr>
        <w:pStyle w:val="Ttulo1"/>
        <w:pBdr>
          <w:bottom w:val="single" w:sz="8" w:space="4" w:color="35506B"/>
        </w:pBdr>
        <w:spacing w:before="480" w:after="20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8. FORMACIÓN, CALIDAD Y SOSTENIBILIDAD</w:t>
      </w:r>
    </w:p>
    <w:p w14:paraId="23E0E915" w14:textId="77777777" w:rsidR="004E3CAC" w:rsidRPr="00C0342B" w:rsidRDefault="00997BC4" w:rsidP="005A34AA">
      <w:pPr>
        <w:pStyle w:val="Ttulo2"/>
        <w:spacing w:before="320" w:after="14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8.1 Formación</w:t>
      </w:r>
    </w:p>
    <w:p w14:paraId="065A9C4E" w14:textId="77777777" w:rsidR="004E3CAC" w:rsidRPr="00161360" w:rsidRDefault="00997BC4" w:rsidP="005A34AA">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Todo profesional de la unidad con responsabilidad en la sedación (médicos y enfermeros) deberá acreditar la formación específica, con un módulo teórico y la validación de competencias prácticas. La guía ESGE-ESGENA 2026 pide, además, ampliar esta formación estructurada al manejo específico de la vía aérea (recomendación fuerte).</w:t>
      </w:r>
    </w:p>
    <w:p w14:paraId="57F93102" w14:textId="6F147FA9" w:rsidR="00A40B16" w:rsidRPr="00161360" w:rsidRDefault="00997BC4" w:rsidP="00555B33">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La renovación de estas habilidades y competencias se realizará en los plazos que establezcan las sociedades científicas, o ante cambios significativos en el protocolo.</w:t>
      </w:r>
    </w:p>
    <w:p w14:paraId="0DDA0BD9" w14:textId="77777777" w:rsidR="004E3CAC" w:rsidRPr="00C0342B" w:rsidRDefault="00997BC4" w:rsidP="005A34AA">
      <w:pPr>
        <w:pStyle w:val="Ttulo2"/>
        <w:spacing w:before="320" w:after="140" w:line="276" w:lineRule="auto"/>
        <w:jc w:val="both"/>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8.2 Programa de calidad</w:t>
      </w:r>
    </w:p>
    <w:p w14:paraId="01052973" w14:textId="77777777" w:rsidR="004E3CAC" w:rsidRPr="00161360" w:rsidRDefault="00997BC4" w:rsidP="005A34AA">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La ESGE recomienda un programa de mejora de calidad con indicadores propios de la sedación (recomendación fuerte). A título orientativo, cada unidad puede definir indicadores como:</w:t>
      </w:r>
    </w:p>
    <w:p w14:paraId="3E13DB4C" w14:textId="77777777" w:rsidR="004E3CAC" w:rsidRPr="00161360" w:rsidRDefault="00997BC4" w:rsidP="005A34AA">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lastRenderedPageBreak/>
        <w:t>Tasa de eventos de hipoxemia (SpO₂ &lt; 90%) por procedimiento sedado.</w:t>
      </w:r>
    </w:p>
    <w:p w14:paraId="1AD0C722" w14:textId="77777777" w:rsidR="004E3CAC" w:rsidRPr="00161360" w:rsidRDefault="00997BC4" w:rsidP="005A34AA">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Tasa de necesidad de apoyo anestésico no programado.</w:t>
      </w:r>
    </w:p>
    <w:p w14:paraId="56741E18" w14:textId="77777777" w:rsidR="004E3CAC" w:rsidRPr="00161360" w:rsidRDefault="00997BC4" w:rsidP="005A34AA">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Tiempo medio de recuperación hasta Aldrete ≥ 9.</w:t>
      </w:r>
    </w:p>
    <w:p w14:paraId="3FB36825" w14:textId="77777777" w:rsidR="004E3CAC" w:rsidRPr="00161360" w:rsidRDefault="00997BC4" w:rsidP="00A40B16">
      <w:pPr>
        <w:pStyle w:val="Prrafodelista"/>
        <w:numPr>
          <w:ilvl w:val="0"/>
          <w:numId w:val="2"/>
        </w:numPr>
        <w:spacing w:after="10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Incidencias registradas frente a total de procedimientos sedados.</w:t>
      </w:r>
    </w:p>
    <w:p w14:paraId="60AF1CB8" w14:textId="77777777" w:rsidR="004E3CAC" w:rsidRPr="00C0342B" w:rsidRDefault="00997BC4" w:rsidP="00181DFF">
      <w:pPr>
        <w:pStyle w:val="Ttulo2"/>
        <w:spacing w:before="320" w:after="14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8.3 Uso racional y sostenibilidad</w:t>
      </w:r>
    </w:p>
    <w:p w14:paraId="38EDB169" w14:textId="77777777" w:rsidR="004E3CAC" w:rsidRPr="00161360" w:rsidRDefault="00997BC4" w:rsidP="002F6716">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La guía introduce como dominio nuevo la sostenibilidad ambiental de la sedación (recomendación fuerte): dosificar de forma ajustada, evitar el desperdicio de fármaco más allá de lo que exige la seguridad del paciente y revisar periódicamente el consumo de fungible asociado a la sedación.</w:t>
      </w:r>
    </w:p>
    <w:p w14:paraId="11BBD892" w14:textId="77777777" w:rsidR="002F6716" w:rsidRPr="00161360" w:rsidRDefault="002F6716" w:rsidP="00181DFF">
      <w:pPr>
        <w:spacing w:after="160" w:line="276" w:lineRule="auto"/>
        <w:rPr>
          <w:rFonts w:ascii="Archivo ExtraLight" w:hAnsi="Archivo ExtraLight" w:cs="Archivo ExtraLight"/>
          <w:sz w:val="22"/>
          <w:szCs w:val="22"/>
        </w:rPr>
      </w:pPr>
    </w:p>
    <w:p w14:paraId="6E702131" w14:textId="77777777" w:rsidR="004E3CAC" w:rsidRPr="00C0342B" w:rsidRDefault="00997BC4" w:rsidP="00181DFF">
      <w:pPr>
        <w:pStyle w:val="Ttulo1"/>
        <w:pBdr>
          <w:bottom w:val="single" w:sz="8" w:space="4" w:color="35506B"/>
        </w:pBdr>
        <w:spacing w:before="480" w:after="20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t>9. NOTA SOBRE MARCO LEGAL Y RESPONSABILIDAD PROFESIONAL</w:t>
      </w:r>
    </w:p>
    <w:p w14:paraId="5EB651EE" w14:textId="77777777" w:rsidR="00B124F5" w:rsidRPr="00161360" w:rsidRDefault="00997BC4">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La sedación profunda por el endoscopista se apoya en la Ley 44/2003, de Ordenación de las Profesiones Sanitarias (LOPS), que no reserva de forma expresa la sedación moderada o profunda (ni la vía intravenosa como categoría general) a la especialidad de Anestesiología y Reanimación. La legalidad de la práctica depende de la combinación de titulación, competencia profesional acreditada, formación específica, organización del equipo, características del paciente y del procedimiento, medios disponibles y cumpli</w:t>
      </w:r>
      <w:r w:rsidRPr="00161360">
        <w:rPr>
          <w:rFonts w:ascii="Archivo ExtraLight" w:hAnsi="Archivo ExtraLight" w:cs="Archivo ExtraLight"/>
          <w:sz w:val="22"/>
          <w:szCs w:val="22"/>
        </w:rPr>
        <w:t xml:space="preserve">miento de la </w:t>
      </w:r>
      <w:r w:rsidRPr="00161360">
        <w:rPr>
          <w:rFonts w:ascii="Archivo ExtraLight" w:hAnsi="Archivo ExtraLight" w:cs="Archivo ExtraLight"/>
          <w:i/>
          <w:iCs/>
          <w:sz w:val="22"/>
          <w:szCs w:val="22"/>
        </w:rPr>
        <w:t xml:space="preserve">lex </w:t>
      </w:r>
      <w:proofErr w:type="spellStart"/>
      <w:r w:rsidRPr="00161360">
        <w:rPr>
          <w:rFonts w:ascii="Archivo ExtraLight" w:hAnsi="Archivo ExtraLight" w:cs="Archivo ExtraLight"/>
          <w:i/>
          <w:iCs/>
          <w:sz w:val="22"/>
          <w:szCs w:val="22"/>
        </w:rPr>
        <w:t>artis</w:t>
      </w:r>
      <w:proofErr w:type="spellEnd"/>
      <w:r w:rsidRPr="00161360">
        <w:rPr>
          <w:rFonts w:ascii="Archivo ExtraLight" w:hAnsi="Archivo ExtraLight" w:cs="Archivo ExtraLight"/>
          <w:i/>
          <w:iCs/>
          <w:sz w:val="22"/>
          <w:szCs w:val="22"/>
        </w:rPr>
        <w:t xml:space="preserve"> ad hoc</w:t>
      </w:r>
      <w:r w:rsidRPr="00161360">
        <w:rPr>
          <w:rFonts w:ascii="Archivo ExtraLight" w:hAnsi="Archivo ExtraLight" w:cs="Archivo ExtraLight"/>
          <w:sz w:val="22"/>
          <w:szCs w:val="22"/>
        </w:rPr>
        <w:t xml:space="preserve"> (una obligación de medios, no de resultado). Se apoya asimismo en la Ley 41/2002, de autonomía del paciente, en lo relativo al consentimiento informado, y en las fichas técnicas de la AEMPS de los fármacos empleados, cuya redacción sobre la cualificación de quien administra el propofol es heterogénea entre países y no permite deducir una reserva profesional uniforme.</w:t>
      </w:r>
    </w:p>
    <w:p w14:paraId="1371FE7E" w14:textId="77777777" w:rsidR="00B124F5" w:rsidRPr="00161360" w:rsidRDefault="00997BC4">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El Real Decreto 239/2026 (en vigor en este aspecto desde el 1 de julio de 2026) ha añadido un nuevo artículo 7 al Real Decreto 1277/2003, que exige que la asistencia se preste por profesionales con «competencias y habilidades profesionales adecuadas» y, cuando exista especialidad, «de acuerdo con el ámbito y competencias establecidas en el programa oficial» de esa especialidad. Su alcance exacto (y su relación con las facultades generales del médico que reconoce la LOPS) es todavía una cuestión jurídica abi</w:t>
      </w:r>
      <w:r w:rsidRPr="00161360">
        <w:rPr>
          <w:rFonts w:ascii="Archivo ExtraLight" w:hAnsi="Archivo ExtraLight" w:cs="Archivo ExtraLight"/>
          <w:sz w:val="22"/>
          <w:szCs w:val="22"/>
        </w:rPr>
        <w:t>erta.</w:t>
      </w:r>
    </w:p>
    <w:p w14:paraId="173CD1E3" w14:textId="77777777" w:rsidR="00B124F5" w:rsidRPr="00161360" w:rsidRDefault="00997BC4">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La normativa autonómica no es uniforme. Madrid, País Vasco, Extremadura, Aragón y Cantabria han dictado órdenes específicas sobre sedación en centros y servicios sin internamiento, con criterios distintos entre sí sobre niveles de sedación, vía de administración, exigencia de anestesiólogo y formación requerida. Su ámbito es extrahospitalario y no constituyen una regulación general trasladable sin más a la práctica intrahospitalaria, pero conviene contrastarlas si su unidad tiene actividad ambulatoria sin i</w:t>
      </w:r>
      <w:r w:rsidRPr="00161360">
        <w:rPr>
          <w:rFonts w:ascii="Archivo ExtraLight" w:hAnsi="Archivo ExtraLight" w:cs="Archivo ExtraLight"/>
          <w:sz w:val="22"/>
          <w:szCs w:val="22"/>
        </w:rPr>
        <w:t>nternamiento. Debe confirmarse el criterio vigente en cada comunidad autónoma antes de implantar este protocolo.</w:t>
      </w:r>
    </w:p>
    <w:p w14:paraId="134CA817" w14:textId="77777777" w:rsidR="00B124F5" w:rsidRPr="00161360" w:rsidRDefault="00997BC4">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En conjunto, el marco vigente no sustenta ni una prohibición general de la sedación endoscópica por no anestesiólogos ni una autorización indiferenciada al margen de la competencia y la organización del equipo: exige que cada unidad pueda acreditar formación, protocolos, monitorización y capacidad de rescate proporcionados al riesgo del paciente y del procedimiento.</w:t>
      </w:r>
    </w:p>
    <w:p w14:paraId="7ED93DCA" w14:textId="77777777" w:rsidR="00B124F5" w:rsidRPr="00161360" w:rsidRDefault="00997BC4">
      <w:pPr>
        <w:spacing w:after="160" w:line="276" w:lineRule="auto"/>
        <w:jc w:val="both"/>
        <w:rPr>
          <w:rFonts w:ascii="Archivo ExtraLight" w:hAnsi="Archivo ExtraLight" w:cs="Archivo ExtraLight"/>
          <w:sz w:val="22"/>
          <w:szCs w:val="22"/>
        </w:rPr>
      </w:pPr>
      <w:r w:rsidRPr="00161360">
        <w:rPr>
          <w:rFonts w:ascii="Archivo ExtraLight" w:hAnsi="Archivo ExtraLight" w:cs="Archivo ExtraLight"/>
          <w:sz w:val="22"/>
          <w:szCs w:val="22"/>
        </w:rPr>
        <w:t xml:space="preserve">Este apartado no sustituye a un asesoramiento jurídico local. Se apoya en un análisis elaborado por la SEPD y que desarrolla con detalle el marco estatal y autonómico, las fichas técnicas del propofol y las </w:t>
      </w:r>
      <w:r w:rsidRPr="00161360">
        <w:rPr>
          <w:rFonts w:ascii="Archivo ExtraLight" w:hAnsi="Archivo ExtraLight" w:cs="Archivo ExtraLight"/>
          <w:sz w:val="22"/>
          <w:szCs w:val="22"/>
        </w:rPr>
        <w:lastRenderedPageBreak/>
        <w:t>competencias profesionales exigibles. Consulte con la SEPD el acceso al informe completo y contrástelo con la asesoría jurídica de su propio centro antes de la validación institucional del protocolo.</w:t>
      </w:r>
    </w:p>
    <w:p w14:paraId="6F245A80" w14:textId="77777777" w:rsidR="00BF529F" w:rsidRPr="00161360" w:rsidRDefault="00BF529F">
      <w:pPr>
        <w:spacing w:after="160" w:line="276" w:lineRule="auto"/>
        <w:jc w:val="both"/>
        <w:rPr>
          <w:rFonts w:ascii="Archivo ExtraLight" w:hAnsi="Archivo ExtraLight" w:cs="Archivo ExtraLight"/>
          <w:sz w:val="22"/>
          <w:szCs w:val="22"/>
        </w:rPr>
      </w:pPr>
    </w:p>
    <w:p w14:paraId="60B0E4E6" w14:textId="77777777" w:rsidR="004E3CAC" w:rsidRPr="00C0342B" w:rsidRDefault="00997BC4" w:rsidP="00181DFF">
      <w:pPr>
        <w:pStyle w:val="Ttulo1"/>
        <w:pBdr>
          <w:bottom w:val="single" w:sz="8" w:space="4" w:color="35506B"/>
        </w:pBdr>
        <w:spacing w:before="480" w:after="200" w:line="276" w:lineRule="auto"/>
        <w:rPr>
          <w:rFonts w:ascii="Archivo ExtraLight" w:hAnsi="Archivo ExtraLight" w:cs="Archivo ExtraLight"/>
          <w:color w:val="040C55"/>
          <w:sz w:val="22"/>
          <w:szCs w:val="22"/>
          <w:lang w:val="en-US"/>
        </w:rPr>
      </w:pPr>
      <w:r w:rsidRPr="00C0342B">
        <w:rPr>
          <w:rFonts w:ascii="Archivo ExtraLight" w:hAnsi="Archivo ExtraLight" w:cs="Archivo ExtraLight"/>
          <w:b/>
          <w:bCs/>
          <w:color w:val="040C55"/>
          <w:sz w:val="22"/>
          <w:szCs w:val="22"/>
          <w:lang w:val="en-US"/>
        </w:rPr>
        <w:t>10. BIBLIOGRAFÍA</w:t>
      </w:r>
    </w:p>
    <w:p w14:paraId="7D4A23E4" w14:textId="77777777" w:rsidR="004E3CAC" w:rsidRPr="00161360" w:rsidRDefault="00997BC4" w:rsidP="00181DFF">
      <w:pPr>
        <w:spacing w:after="160" w:line="276" w:lineRule="auto"/>
        <w:rPr>
          <w:rFonts w:ascii="Archivo ExtraLight" w:hAnsi="Archivo ExtraLight" w:cs="Archivo ExtraLight"/>
          <w:sz w:val="22"/>
          <w:szCs w:val="22"/>
          <w:lang w:val="en-US"/>
        </w:rPr>
      </w:pPr>
      <w:r w:rsidRPr="00161360">
        <w:rPr>
          <w:rFonts w:ascii="Archivo ExtraLight" w:hAnsi="Archivo ExtraLight" w:cs="Archivo ExtraLight"/>
          <w:b/>
          <w:bCs/>
          <w:sz w:val="22"/>
          <w:szCs w:val="22"/>
          <w:lang w:val="en-US"/>
        </w:rPr>
        <w:t xml:space="preserve">1. </w:t>
      </w:r>
      <w:r w:rsidRPr="00161360">
        <w:rPr>
          <w:rFonts w:ascii="Archivo ExtraLight" w:hAnsi="Archivo ExtraLight" w:cs="Archivo ExtraLight"/>
          <w:sz w:val="22"/>
          <w:szCs w:val="22"/>
          <w:lang w:val="en-US"/>
        </w:rPr>
        <w:t xml:space="preserve">Triantafyllou K, </w:t>
      </w:r>
      <w:proofErr w:type="spellStart"/>
      <w:r w:rsidRPr="00161360">
        <w:rPr>
          <w:rFonts w:ascii="Archivo ExtraLight" w:hAnsi="Archivo ExtraLight" w:cs="Archivo ExtraLight"/>
          <w:sz w:val="22"/>
          <w:szCs w:val="22"/>
          <w:lang w:val="en-US"/>
        </w:rPr>
        <w:t>Tziatzios</w:t>
      </w:r>
      <w:proofErr w:type="spellEnd"/>
      <w:r w:rsidRPr="00161360">
        <w:rPr>
          <w:rFonts w:ascii="Archivo ExtraLight" w:hAnsi="Archivo ExtraLight" w:cs="Archivo ExtraLight"/>
          <w:sz w:val="22"/>
          <w:szCs w:val="22"/>
          <w:lang w:val="en-US"/>
        </w:rPr>
        <w:t xml:space="preserve"> G, Tham TC, et al. Sedation for gastrointestinal endoscopy: ESGE and ESGENA Guideline. Endoscopy 2026.</w:t>
      </w:r>
    </w:p>
    <w:p w14:paraId="204FE7F4" w14:textId="77777777" w:rsidR="004E3CAC" w:rsidRPr="00161360" w:rsidRDefault="00997BC4" w:rsidP="00181DFF">
      <w:pPr>
        <w:spacing w:after="160" w:line="276" w:lineRule="auto"/>
        <w:rPr>
          <w:rFonts w:ascii="Archivo ExtraLight" w:hAnsi="Archivo ExtraLight" w:cs="Archivo ExtraLight"/>
          <w:sz w:val="22"/>
          <w:szCs w:val="22"/>
          <w:lang w:val="en-US"/>
        </w:rPr>
      </w:pPr>
      <w:r w:rsidRPr="00161360">
        <w:rPr>
          <w:rFonts w:ascii="Archivo ExtraLight" w:hAnsi="Archivo ExtraLight" w:cs="Archivo ExtraLight"/>
          <w:b/>
          <w:bCs/>
          <w:sz w:val="22"/>
          <w:szCs w:val="22"/>
          <w:lang w:val="en-US"/>
        </w:rPr>
        <w:t xml:space="preserve">2. </w:t>
      </w:r>
      <w:r w:rsidRPr="00161360">
        <w:rPr>
          <w:rFonts w:ascii="Archivo ExtraLight" w:hAnsi="Archivo ExtraLight" w:cs="Archivo ExtraLight"/>
          <w:sz w:val="22"/>
          <w:szCs w:val="22"/>
          <w:lang w:val="en-US"/>
        </w:rPr>
        <w:t xml:space="preserve">ASGE Position Statement: </w:t>
      </w:r>
      <w:proofErr w:type="spellStart"/>
      <w:r w:rsidRPr="00161360">
        <w:rPr>
          <w:rFonts w:ascii="Archivo ExtraLight" w:hAnsi="Archivo ExtraLight" w:cs="Archivo ExtraLight"/>
          <w:sz w:val="22"/>
          <w:szCs w:val="22"/>
          <w:lang w:val="en-US"/>
        </w:rPr>
        <w:t>nonanesthesiologist</w:t>
      </w:r>
      <w:proofErr w:type="spellEnd"/>
      <w:r w:rsidRPr="00161360">
        <w:rPr>
          <w:rFonts w:ascii="Archivo ExtraLight" w:hAnsi="Archivo ExtraLight" w:cs="Archivo ExtraLight"/>
          <w:sz w:val="22"/>
          <w:szCs w:val="22"/>
          <w:lang w:val="en-US"/>
        </w:rPr>
        <w:t xml:space="preserve"> administration of propofol for GI endoscopy. </w:t>
      </w:r>
      <w:proofErr w:type="spellStart"/>
      <w:r w:rsidRPr="00161360">
        <w:rPr>
          <w:rFonts w:ascii="Archivo ExtraLight" w:hAnsi="Archivo ExtraLight" w:cs="Archivo ExtraLight"/>
          <w:sz w:val="22"/>
          <w:szCs w:val="22"/>
          <w:lang w:val="en-US"/>
        </w:rPr>
        <w:t>Gastrointest</w:t>
      </w:r>
      <w:proofErr w:type="spellEnd"/>
      <w:r w:rsidRPr="00161360">
        <w:rPr>
          <w:rFonts w:ascii="Archivo ExtraLight" w:hAnsi="Archivo ExtraLight" w:cs="Archivo ExtraLight"/>
          <w:sz w:val="22"/>
          <w:szCs w:val="22"/>
          <w:lang w:val="en-US"/>
        </w:rPr>
        <w:t xml:space="preserve"> </w:t>
      </w:r>
      <w:proofErr w:type="spellStart"/>
      <w:r w:rsidRPr="00161360">
        <w:rPr>
          <w:rFonts w:ascii="Archivo ExtraLight" w:hAnsi="Archivo ExtraLight" w:cs="Archivo ExtraLight"/>
          <w:sz w:val="22"/>
          <w:szCs w:val="22"/>
          <w:lang w:val="en-US"/>
        </w:rPr>
        <w:t>Endosc</w:t>
      </w:r>
      <w:proofErr w:type="spellEnd"/>
      <w:r w:rsidRPr="00161360">
        <w:rPr>
          <w:rFonts w:ascii="Archivo ExtraLight" w:hAnsi="Archivo ExtraLight" w:cs="Archivo ExtraLight"/>
          <w:sz w:val="22"/>
          <w:szCs w:val="22"/>
          <w:lang w:val="en-US"/>
        </w:rPr>
        <w:t xml:space="preserve"> </w:t>
      </w:r>
      <w:proofErr w:type="gramStart"/>
      <w:r w:rsidRPr="00161360">
        <w:rPr>
          <w:rFonts w:ascii="Archivo ExtraLight" w:hAnsi="Archivo ExtraLight" w:cs="Archivo ExtraLight"/>
          <w:sz w:val="22"/>
          <w:szCs w:val="22"/>
          <w:lang w:val="en-US"/>
        </w:rPr>
        <w:t>2009;70:1053</w:t>
      </w:r>
      <w:proofErr w:type="gramEnd"/>
      <w:r w:rsidRPr="00161360">
        <w:rPr>
          <w:rFonts w:ascii="Archivo ExtraLight" w:hAnsi="Archivo ExtraLight" w:cs="Archivo ExtraLight"/>
          <w:sz w:val="22"/>
          <w:szCs w:val="22"/>
          <w:lang w:val="en-US"/>
        </w:rPr>
        <w:t>-59.</w:t>
      </w:r>
    </w:p>
    <w:p w14:paraId="34823483" w14:textId="77777777" w:rsidR="004E3CAC" w:rsidRPr="00161360" w:rsidRDefault="00997BC4" w:rsidP="00181DFF">
      <w:pPr>
        <w:spacing w:after="160" w:line="276" w:lineRule="auto"/>
        <w:rPr>
          <w:rFonts w:ascii="Archivo ExtraLight" w:hAnsi="Archivo ExtraLight" w:cs="Archivo ExtraLight"/>
          <w:sz w:val="22"/>
          <w:szCs w:val="22"/>
          <w:lang w:val="en-US"/>
        </w:rPr>
      </w:pPr>
      <w:r w:rsidRPr="00161360">
        <w:rPr>
          <w:rFonts w:ascii="Archivo ExtraLight" w:hAnsi="Archivo ExtraLight" w:cs="Archivo ExtraLight"/>
          <w:b/>
          <w:bCs/>
          <w:sz w:val="22"/>
          <w:szCs w:val="22"/>
          <w:lang w:val="en-US"/>
        </w:rPr>
        <w:t xml:space="preserve">3. </w:t>
      </w:r>
      <w:r w:rsidRPr="00161360">
        <w:rPr>
          <w:rFonts w:ascii="Archivo ExtraLight" w:hAnsi="Archivo ExtraLight" w:cs="Archivo ExtraLight"/>
          <w:sz w:val="22"/>
          <w:szCs w:val="22"/>
          <w:lang w:val="en-US"/>
        </w:rPr>
        <w:t xml:space="preserve">López-Rosés L. Sedation/analgesia guidelines for endoscopy. Rev Esp </w:t>
      </w:r>
      <w:proofErr w:type="spellStart"/>
      <w:r w:rsidRPr="00161360">
        <w:rPr>
          <w:rFonts w:ascii="Archivo ExtraLight" w:hAnsi="Archivo ExtraLight" w:cs="Archivo ExtraLight"/>
          <w:sz w:val="22"/>
          <w:szCs w:val="22"/>
          <w:lang w:val="en-US"/>
        </w:rPr>
        <w:t>Enf</w:t>
      </w:r>
      <w:proofErr w:type="spellEnd"/>
      <w:r w:rsidRPr="00161360">
        <w:rPr>
          <w:rFonts w:ascii="Archivo ExtraLight" w:hAnsi="Archivo ExtraLight" w:cs="Archivo ExtraLight"/>
          <w:sz w:val="22"/>
          <w:szCs w:val="22"/>
          <w:lang w:val="en-US"/>
        </w:rPr>
        <w:t xml:space="preserve"> Digest 2006;98(9).</w:t>
      </w:r>
    </w:p>
    <w:p w14:paraId="02255A43"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b/>
          <w:bCs/>
          <w:sz w:val="22"/>
          <w:szCs w:val="22"/>
          <w:lang w:val="en-US"/>
        </w:rPr>
        <w:t xml:space="preserve">4. </w:t>
      </w:r>
      <w:r w:rsidRPr="00161360">
        <w:rPr>
          <w:rFonts w:ascii="Archivo ExtraLight" w:hAnsi="Archivo ExtraLight" w:cs="Archivo ExtraLight"/>
          <w:sz w:val="22"/>
          <w:szCs w:val="22"/>
          <w:lang w:val="en-US"/>
        </w:rPr>
        <w:t xml:space="preserve">Simón MA, Bordas JM, Campo R et al. </w:t>
      </w:r>
      <w:r w:rsidRPr="00161360">
        <w:rPr>
          <w:rFonts w:ascii="Archivo ExtraLight" w:hAnsi="Archivo ExtraLight" w:cs="Archivo ExtraLight"/>
          <w:sz w:val="22"/>
          <w:szCs w:val="22"/>
        </w:rPr>
        <w:t xml:space="preserve">Documento de consenso de la AEG sobre </w:t>
      </w:r>
      <w:proofErr w:type="spellStart"/>
      <w:r w:rsidRPr="00161360">
        <w:rPr>
          <w:rFonts w:ascii="Archivo ExtraLight" w:hAnsi="Archivo ExtraLight" w:cs="Archivo ExtraLight"/>
          <w:sz w:val="22"/>
          <w:szCs w:val="22"/>
        </w:rPr>
        <w:t>sedoanalgesia</w:t>
      </w:r>
      <w:proofErr w:type="spellEnd"/>
      <w:r w:rsidRPr="00161360">
        <w:rPr>
          <w:rFonts w:ascii="Archivo ExtraLight" w:hAnsi="Archivo ExtraLight" w:cs="Archivo ExtraLight"/>
          <w:sz w:val="22"/>
          <w:szCs w:val="22"/>
        </w:rPr>
        <w:t xml:space="preserve"> en la endoscopia digestiva. </w:t>
      </w:r>
      <w:proofErr w:type="spellStart"/>
      <w:r w:rsidRPr="00161360">
        <w:rPr>
          <w:rFonts w:ascii="Archivo ExtraLight" w:hAnsi="Archivo ExtraLight" w:cs="Archivo ExtraLight"/>
          <w:sz w:val="22"/>
          <w:szCs w:val="22"/>
        </w:rPr>
        <w:t>Gastroenterol</w:t>
      </w:r>
      <w:proofErr w:type="spellEnd"/>
      <w:r w:rsidRPr="00161360">
        <w:rPr>
          <w:rFonts w:ascii="Archivo ExtraLight" w:hAnsi="Archivo ExtraLight" w:cs="Archivo ExtraLight"/>
          <w:sz w:val="22"/>
          <w:szCs w:val="22"/>
        </w:rPr>
        <w:t xml:space="preserve"> </w:t>
      </w:r>
      <w:proofErr w:type="spellStart"/>
      <w:r w:rsidRPr="00161360">
        <w:rPr>
          <w:rFonts w:ascii="Archivo ExtraLight" w:hAnsi="Archivo ExtraLight" w:cs="Archivo ExtraLight"/>
          <w:sz w:val="22"/>
          <w:szCs w:val="22"/>
        </w:rPr>
        <w:t>Hepatol</w:t>
      </w:r>
      <w:proofErr w:type="spellEnd"/>
      <w:r w:rsidRPr="00161360">
        <w:rPr>
          <w:rFonts w:ascii="Archivo ExtraLight" w:hAnsi="Archivo ExtraLight" w:cs="Archivo ExtraLight"/>
          <w:sz w:val="22"/>
          <w:szCs w:val="22"/>
        </w:rPr>
        <w:t xml:space="preserve"> </w:t>
      </w:r>
      <w:proofErr w:type="gramStart"/>
      <w:r w:rsidRPr="00161360">
        <w:rPr>
          <w:rFonts w:ascii="Archivo ExtraLight" w:hAnsi="Archivo ExtraLight" w:cs="Archivo ExtraLight"/>
          <w:sz w:val="22"/>
          <w:szCs w:val="22"/>
        </w:rPr>
        <w:t>2006;29:131</w:t>
      </w:r>
      <w:proofErr w:type="gramEnd"/>
      <w:r w:rsidRPr="00161360">
        <w:rPr>
          <w:rFonts w:ascii="Archivo ExtraLight" w:hAnsi="Archivo ExtraLight" w:cs="Archivo ExtraLight"/>
          <w:sz w:val="22"/>
          <w:szCs w:val="22"/>
        </w:rPr>
        <w:t>-49.</w:t>
      </w:r>
    </w:p>
    <w:p w14:paraId="6E04798E" w14:textId="77777777" w:rsidR="004E3CAC" w:rsidRPr="00161360" w:rsidRDefault="00997BC4" w:rsidP="00181DFF">
      <w:pPr>
        <w:spacing w:after="160" w:line="276" w:lineRule="auto"/>
        <w:rPr>
          <w:rFonts w:ascii="Archivo ExtraLight" w:hAnsi="Archivo ExtraLight" w:cs="Archivo ExtraLight"/>
          <w:sz w:val="22"/>
          <w:szCs w:val="22"/>
          <w:lang w:val="en-US"/>
        </w:rPr>
      </w:pPr>
      <w:r w:rsidRPr="00161360">
        <w:rPr>
          <w:rFonts w:ascii="Archivo ExtraLight" w:hAnsi="Archivo ExtraLight" w:cs="Archivo ExtraLight"/>
          <w:b/>
          <w:bCs/>
          <w:sz w:val="22"/>
          <w:szCs w:val="22"/>
        </w:rPr>
        <w:t xml:space="preserve">5. </w:t>
      </w:r>
      <w:r w:rsidRPr="00161360">
        <w:rPr>
          <w:rFonts w:ascii="Archivo ExtraLight" w:hAnsi="Archivo ExtraLight" w:cs="Archivo ExtraLight"/>
          <w:sz w:val="22"/>
          <w:szCs w:val="22"/>
        </w:rPr>
        <w:t xml:space="preserve">Sociedad Española de Endoscopia Digestiva. Posición de la SEED: sedación con propofol por los endoscopistas especialistas en aparato digestivo. </w:t>
      </w:r>
      <w:r w:rsidRPr="00161360">
        <w:rPr>
          <w:rFonts w:ascii="Archivo ExtraLight" w:hAnsi="Archivo ExtraLight" w:cs="Archivo ExtraLight"/>
          <w:sz w:val="22"/>
          <w:szCs w:val="22"/>
          <w:lang w:val="en-US"/>
        </w:rPr>
        <w:t>Junio 2010.</w:t>
      </w:r>
    </w:p>
    <w:p w14:paraId="3CB825CA" w14:textId="77777777" w:rsidR="004E3CAC" w:rsidRPr="00161360" w:rsidRDefault="00997BC4" w:rsidP="00181DFF">
      <w:pPr>
        <w:spacing w:after="160" w:line="276" w:lineRule="auto"/>
        <w:rPr>
          <w:rFonts w:ascii="Archivo ExtraLight" w:hAnsi="Archivo ExtraLight" w:cs="Archivo ExtraLight"/>
          <w:sz w:val="22"/>
          <w:szCs w:val="22"/>
          <w:lang w:val="en-US"/>
        </w:rPr>
      </w:pPr>
      <w:r w:rsidRPr="00161360">
        <w:rPr>
          <w:rFonts w:ascii="Archivo ExtraLight" w:hAnsi="Archivo ExtraLight" w:cs="Archivo ExtraLight"/>
          <w:b/>
          <w:bCs/>
          <w:sz w:val="22"/>
          <w:szCs w:val="22"/>
          <w:lang w:val="en-US"/>
        </w:rPr>
        <w:t xml:space="preserve">6. </w:t>
      </w:r>
      <w:r w:rsidRPr="00161360">
        <w:rPr>
          <w:rFonts w:ascii="Archivo ExtraLight" w:hAnsi="Archivo ExtraLight" w:cs="Archivo ExtraLight"/>
          <w:sz w:val="22"/>
          <w:szCs w:val="22"/>
          <w:lang w:val="en-US"/>
        </w:rPr>
        <w:t xml:space="preserve">Rex DK, </w:t>
      </w:r>
      <w:proofErr w:type="spellStart"/>
      <w:r w:rsidRPr="00161360">
        <w:rPr>
          <w:rFonts w:ascii="Archivo ExtraLight" w:hAnsi="Archivo ExtraLight" w:cs="Archivo ExtraLight"/>
          <w:sz w:val="22"/>
          <w:szCs w:val="22"/>
          <w:lang w:val="en-US"/>
        </w:rPr>
        <w:t>Deenadayalu</w:t>
      </w:r>
      <w:proofErr w:type="spellEnd"/>
      <w:r w:rsidRPr="00161360">
        <w:rPr>
          <w:rFonts w:ascii="Archivo ExtraLight" w:hAnsi="Archivo ExtraLight" w:cs="Archivo ExtraLight"/>
          <w:sz w:val="22"/>
          <w:szCs w:val="22"/>
          <w:lang w:val="en-US"/>
        </w:rPr>
        <w:t xml:space="preserve"> VP, Eid E et al. Endoscopist-directed administration of propofol: a worldwide safety experience. Gastroenterology </w:t>
      </w:r>
      <w:proofErr w:type="gramStart"/>
      <w:r w:rsidRPr="00161360">
        <w:rPr>
          <w:rFonts w:ascii="Archivo ExtraLight" w:hAnsi="Archivo ExtraLight" w:cs="Archivo ExtraLight"/>
          <w:sz w:val="22"/>
          <w:szCs w:val="22"/>
          <w:lang w:val="en-US"/>
        </w:rPr>
        <w:t>2009;137:1229</w:t>
      </w:r>
      <w:proofErr w:type="gramEnd"/>
      <w:r w:rsidRPr="00161360">
        <w:rPr>
          <w:rFonts w:ascii="Archivo ExtraLight" w:hAnsi="Archivo ExtraLight" w:cs="Archivo ExtraLight"/>
          <w:sz w:val="22"/>
          <w:szCs w:val="22"/>
          <w:lang w:val="en-US"/>
        </w:rPr>
        <w:t>-37.</w:t>
      </w:r>
    </w:p>
    <w:p w14:paraId="7F8E81D5" w14:textId="77777777" w:rsidR="004E3CAC" w:rsidRPr="00161360" w:rsidRDefault="00997BC4" w:rsidP="00181DFF">
      <w:pPr>
        <w:spacing w:after="160" w:line="276" w:lineRule="auto"/>
        <w:rPr>
          <w:rFonts w:ascii="Archivo ExtraLight" w:hAnsi="Archivo ExtraLight" w:cs="Archivo ExtraLight"/>
          <w:sz w:val="22"/>
          <w:szCs w:val="22"/>
          <w:lang w:val="en-US"/>
        </w:rPr>
      </w:pPr>
      <w:r w:rsidRPr="00161360">
        <w:rPr>
          <w:rFonts w:ascii="Archivo ExtraLight" w:hAnsi="Archivo ExtraLight" w:cs="Archivo ExtraLight"/>
          <w:b/>
          <w:bCs/>
          <w:sz w:val="22"/>
          <w:szCs w:val="22"/>
          <w:lang w:val="en-US"/>
        </w:rPr>
        <w:t xml:space="preserve">7. </w:t>
      </w:r>
      <w:r w:rsidRPr="00161360">
        <w:rPr>
          <w:rFonts w:ascii="Archivo ExtraLight" w:hAnsi="Archivo ExtraLight" w:cs="Archivo ExtraLight"/>
          <w:sz w:val="22"/>
          <w:szCs w:val="22"/>
          <w:lang w:val="en-US"/>
        </w:rPr>
        <w:t xml:space="preserve">Cohen LB, Delegge MH, Aisenberg J et al. AGA Institute review of endoscopic sedation. Gastroenterology </w:t>
      </w:r>
      <w:proofErr w:type="gramStart"/>
      <w:r w:rsidRPr="00161360">
        <w:rPr>
          <w:rFonts w:ascii="Archivo ExtraLight" w:hAnsi="Archivo ExtraLight" w:cs="Archivo ExtraLight"/>
          <w:sz w:val="22"/>
          <w:szCs w:val="22"/>
          <w:lang w:val="en-US"/>
        </w:rPr>
        <w:t>2007;133:675</w:t>
      </w:r>
      <w:proofErr w:type="gramEnd"/>
      <w:r w:rsidRPr="00161360">
        <w:rPr>
          <w:rFonts w:ascii="Archivo ExtraLight" w:hAnsi="Archivo ExtraLight" w:cs="Archivo ExtraLight"/>
          <w:sz w:val="22"/>
          <w:szCs w:val="22"/>
          <w:lang w:val="en-US"/>
        </w:rPr>
        <w:t>-701.</w:t>
      </w:r>
    </w:p>
    <w:p w14:paraId="1917C536" w14:textId="77777777" w:rsidR="004E3CAC" w:rsidRPr="00161360" w:rsidRDefault="00997BC4" w:rsidP="00181DFF">
      <w:pPr>
        <w:spacing w:after="160" w:line="276" w:lineRule="auto"/>
        <w:rPr>
          <w:rFonts w:ascii="Archivo ExtraLight" w:hAnsi="Archivo ExtraLight" w:cs="Archivo ExtraLight"/>
          <w:sz w:val="22"/>
          <w:szCs w:val="22"/>
          <w:lang w:val="en-US"/>
        </w:rPr>
      </w:pPr>
      <w:r w:rsidRPr="00161360">
        <w:rPr>
          <w:rFonts w:ascii="Archivo ExtraLight" w:hAnsi="Archivo ExtraLight" w:cs="Archivo ExtraLight"/>
          <w:b/>
          <w:bCs/>
          <w:sz w:val="22"/>
          <w:szCs w:val="22"/>
          <w:lang w:val="en-US"/>
        </w:rPr>
        <w:t xml:space="preserve">8. </w:t>
      </w:r>
      <w:r w:rsidRPr="00161360">
        <w:rPr>
          <w:rFonts w:ascii="Archivo ExtraLight" w:hAnsi="Archivo ExtraLight" w:cs="Archivo ExtraLight"/>
          <w:sz w:val="22"/>
          <w:szCs w:val="22"/>
          <w:lang w:val="en-US"/>
        </w:rPr>
        <w:t xml:space="preserve">Ferreira AO, Torres J, Barjas E et al. </w:t>
      </w:r>
      <w:proofErr w:type="gramStart"/>
      <w:r w:rsidRPr="00161360">
        <w:rPr>
          <w:rFonts w:ascii="Archivo ExtraLight" w:hAnsi="Archivo ExtraLight" w:cs="Archivo ExtraLight"/>
          <w:sz w:val="22"/>
          <w:szCs w:val="22"/>
          <w:lang w:val="en-US"/>
        </w:rPr>
        <w:t>Non-anesthesiologist</w:t>
      </w:r>
      <w:proofErr w:type="gramEnd"/>
      <w:r w:rsidRPr="00161360">
        <w:rPr>
          <w:rFonts w:ascii="Archivo ExtraLight" w:hAnsi="Archivo ExtraLight" w:cs="Archivo ExtraLight"/>
          <w:sz w:val="22"/>
          <w:szCs w:val="22"/>
          <w:lang w:val="en-US"/>
        </w:rPr>
        <w:t xml:space="preserve"> administration of propofol sedation for colonoscopy is safe in </w:t>
      </w:r>
      <w:proofErr w:type="gramStart"/>
      <w:r w:rsidRPr="00161360">
        <w:rPr>
          <w:rFonts w:ascii="Archivo ExtraLight" w:hAnsi="Archivo ExtraLight" w:cs="Archivo ExtraLight"/>
          <w:sz w:val="22"/>
          <w:szCs w:val="22"/>
          <w:lang w:val="en-US"/>
        </w:rPr>
        <w:t>low risk</w:t>
      </w:r>
      <w:proofErr w:type="gramEnd"/>
      <w:r w:rsidRPr="00161360">
        <w:rPr>
          <w:rFonts w:ascii="Archivo ExtraLight" w:hAnsi="Archivo ExtraLight" w:cs="Archivo ExtraLight"/>
          <w:sz w:val="22"/>
          <w:szCs w:val="22"/>
          <w:lang w:val="en-US"/>
        </w:rPr>
        <w:t xml:space="preserve"> patients: results of a noninferiority randomized controlled trial. Endoscopy </w:t>
      </w:r>
      <w:proofErr w:type="gramStart"/>
      <w:r w:rsidRPr="00161360">
        <w:rPr>
          <w:rFonts w:ascii="Archivo ExtraLight" w:hAnsi="Archivo ExtraLight" w:cs="Archivo ExtraLight"/>
          <w:sz w:val="22"/>
          <w:szCs w:val="22"/>
          <w:lang w:val="en-US"/>
        </w:rPr>
        <w:t>2016;48:747</w:t>
      </w:r>
      <w:proofErr w:type="gramEnd"/>
      <w:r w:rsidRPr="00161360">
        <w:rPr>
          <w:rFonts w:ascii="Archivo ExtraLight" w:hAnsi="Archivo ExtraLight" w:cs="Archivo ExtraLight"/>
          <w:sz w:val="22"/>
          <w:szCs w:val="22"/>
          <w:lang w:val="en-US"/>
        </w:rPr>
        <w:t>-53.</w:t>
      </w:r>
    </w:p>
    <w:p w14:paraId="3FF573C5" w14:textId="77777777" w:rsidR="004E3CAC" w:rsidRPr="00161360" w:rsidRDefault="00997BC4" w:rsidP="00181DFF">
      <w:pPr>
        <w:spacing w:after="160" w:line="276" w:lineRule="auto"/>
        <w:rPr>
          <w:rFonts w:ascii="Archivo ExtraLight" w:hAnsi="Archivo ExtraLight" w:cs="Archivo ExtraLight"/>
          <w:sz w:val="22"/>
          <w:szCs w:val="22"/>
          <w:lang w:val="en-US"/>
        </w:rPr>
      </w:pPr>
      <w:r w:rsidRPr="00161360">
        <w:rPr>
          <w:rFonts w:ascii="Archivo ExtraLight" w:hAnsi="Archivo ExtraLight" w:cs="Archivo ExtraLight"/>
          <w:b/>
          <w:bCs/>
          <w:sz w:val="22"/>
          <w:szCs w:val="22"/>
          <w:lang w:val="en-US"/>
        </w:rPr>
        <w:t xml:space="preserve">9. </w:t>
      </w:r>
      <w:r w:rsidRPr="00161360">
        <w:rPr>
          <w:rFonts w:ascii="Archivo ExtraLight" w:hAnsi="Archivo ExtraLight" w:cs="Archivo ExtraLight"/>
          <w:sz w:val="22"/>
          <w:szCs w:val="22"/>
          <w:lang w:val="en-US"/>
        </w:rPr>
        <w:t xml:space="preserve">Heuss LT, Froehlich F, Beglinger C. </w:t>
      </w:r>
      <w:proofErr w:type="spellStart"/>
      <w:r w:rsidRPr="00161360">
        <w:rPr>
          <w:rFonts w:ascii="Archivo ExtraLight" w:hAnsi="Archivo ExtraLight" w:cs="Archivo ExtraLight"/>
          <w:sz w:val="22"/>
          <w:szCs w:val="22"/>
          <w:lang w:val="en-US"/>
        </w:rPr>
        <w:t>Nonanesthesiologist</w:t>
      </w:r>
      <w:proofErr w:type="spellEnd"/>
      <w:r w:rsidRPr="00161360">
        <w:rPr>
          <w:rFonts w:ascii="Archivo ExtraLight" w:hAnsi="Archivo ExtraLight" w:cs="Archivo ExtraLight"/>
          <w:sz w:val="22"/>
          <w:szCs w:val="22"/>
          <w:lang w:val="en-US"/>
        </w:rPr>
        <w:t xml:space="preserve">-administered propofol sedation: from the exception to standard practice. Endoscopy </w:t>
      </w:r>
      <w:proofErr w:type="gramStart"/>
      <w:r w:rsidRPr="00161360">
        <w:rPr>
          <w:rFonts w:ascii="Archivo ExtraLight" w:hAnsi="Archivo ExtraLight" w:cs="Archivo ExtraLight"/>
          <w:sz w:val="22"/>
          <w:szCs w:val="22"/>
          <w:lang w:val="en-US"/>
        </w:rPr>
        <w:t>2012;44:504</w:t>
      </w:r>
      <w:proofErr w:type="gramEnd"/>
      <w:r w:rsidRPr="00161360">
        <w:rPr>
          <w:rFonts w:ascii="Archivo ExtraLight" w:hAnsi="Archivo ExtraLight" w:cs="Archivo ExtraLight"/>
          <w:sz w:val="22"/>
          <w:szCs w:val="22"/>
          <w:lang w:val="en-US"/>
        </w:rPr>
        <w:t>-11.</w:t>
      </w:r>
    </w:p>
    <w:p w14:paraId="46672D86" w14:textId="77777777" w:rsidR="004E3CAC" w:rsidRPr="00161360" w:rsidRDefault="00997BC4" w:rsidP="00181DFF">
      <w:pPr>
        <w:spacing w:after="160" w:line="276" w:lineRule="auto"/>
        <w:rPr>
          <w:rFonts w:ascii="Archivo ExtraLight" w:hAnsi="Archivo ExtraLight" w:cs="Archivo ExtraLight"/>
          <w:sz w:val="22"/>
          <w:szCs w:val="22"/>
          <w:lang w:val="en-US"/>
        </w:rPr>
      </w:pPr>
      <w:r w:rsidRPr="00161360">
        <w:rPr>
          <w:rFonts w:ascii="Archivo ExtraLight" w:hAnsi="Archivo ExtraLight" w:cs="Archivo ExtraLight"/>
          <w:b/>
          <w:bCs/>
          <w:sz w:val="22"/>
          <w:szCs w:val="22"/>
          <w:lang w:val="en-US"/>
        </w:rPr>
        <w:t xml:space="preserve">10. </w:t>
      </w:r>
      <w:r w:rsidRPr="00161360">
        <w:rPr>
          <w:rFonts w:ascii="Archivo ExtraLight" w:hAnsi="Archivo ExtraLight" w:cs="Archivo ExtraLight"/>
          <w:sz w:val="22"/>
          <w:szCs w:val="22"/>
          <w:lang w:val="en-US"/>
        </w:rPr>
        <w:t xml:space="preserve">Vargo JJ, DeLegge MH, Feld AD et al. </w:t>
      </w:r>
      <w:proofErr w:type="spellStart"/>
      <w:r w:rsidRPr="00161360">
        <w:rPr>
          <w:rFonts w:ascii="Archivo ExtraLight" w:hAnsi="Archivo ExtraLight" w:cs="Archivo ExtraLight"/>
          <w:sz w:val="22"/>
          <w:szCs w:val="22"/>
          <w:lang w:val="en-US"/>
        </w:rPr>
        <w:t>Multisociety</w:t>
      </w:r>
      <w:proofErr w:type="spellEnd"/>
      <w:r w:rsidRPr="00161360">
        <w:rPr>
          <w:rFonts w:ascii="Archivo ExtraLight" w:hAnsi="Archivo ExtraLight" w:cs="Archivo ExtraLight"/>
          <w:sz w:val="22"/>
          <w:szCs w:val="22"/>
          <w:lang w:val="en-US"/>
        </w:rPr>
        <w:t xml:space="preserve"> sedation curriculum for gastrointestinal endoscopy. </w:t>
      </w:r>
      <w:proofErr w:type="spellStart"/>
      <w:r w:rsidRPr="00161360">
        <w:rPr>
          <w:rFonts w:ascii="Archivo ExtraLight" w:hAnsi="Archivo ExtraLight" w:cs="Archivo ExtraLight"/>
          <w:sz w:val="22"/>
          <w:szCs w:val="22"/>
          <w:lang w:val="en-US"/>
        </w:rPr>
        <w:t>Gastrointest</w:t>
      </w:r>
      <w:proofErr w:type="spellEnd"/>
      <w:r w:rsidRPr="00161360">
        <w:rPr>
          <w:rFonts w:ascii="Archivo ExtraLight" w:hAnsi="Archivo ExtraLight" w:cs="Archivo ExtraLight"/>
          <w:sz w:val="22"/>
          <w:szCs w:val="22"/>
          <w:lang w:val="en-US"/>
        </w:rPr>
        <w:t xml:space="preserve"> </w:t>
      </w:r>
      <w:proofErr w:type="spellStart"/>
      <w:r w:rsidRPr="00161360">
        <w:rPr>
          <w:rFonts w:ascii="Archivo ExtraLight" w:hAnsi="Archivo ExtraLight" w:cs="Archivo ExtraLight"/>
          <w:sz w:val="22"/>
          <w:szCs w:val="22"/>
          <w:lang w:val="en-US"/>
        </w:rPr>
        <w:t>Endosc</w:t>
      </w:r>
      <w:proofErr w:type="spellEnd"/>
      <w:r w:rsidRPr="00161360">
        <w:rPr>
          <w:rFonts w:ascii="Archivo ExtraLight" w:hAnsi="Archivo ExtraLight" w:cs="Archivo ExtraLight"/>
          <w:sz w:val="22"/>
          <w:szCs w:val="22"/>
          <w:lang w:val="en-US"/>
        </w:rPr>
        <w:t xml:space="preserve"> 2012;</w:t>
      </w:r>
      <w:proofErr w:type="gramStart"/>
      <w:r w:rsidRPr="00161360">
        <w:rPr>
          <w:rFonts w:ascii="Archivo ExtraLight" w:hAnsi="Archivo ExtraLight" w:cs="Archivo ExtraLight"/>
          <w:sz w:val="22"/>
          <w:szCs w:val="22"/>
          <w:lang w:val="en-US"/>
        </w:rPr>
        <w:t>76:e</w:t>
      </w:r>
      <w:proofErr w:type="gramEnd"/>
      <w:r w:rsidRPr="00161360">
        <w:rPr>
          <w:rFonts w:ascii="Archivo ExtraLight" w:hAnsi="Archivo ExtraLight" w:cs="Archivo ExtraLight"/>
          <w:sz w:val="22"/>
          <w:szCs w:val="22"/>
          <w:lang w:val="en-US"/>
        </w:rPr>
        <w:t>1-25.</w:t>
      </w:r>
    </w:p>
    <w:p w14:paraId="7F4A492A" w14:textId="77777777" w:rsidR="004E3CAC" w:rsidRPr="00161360" w:rsidRDefault="00997BC4" w:rsidP="00181DFF">
      <w:pPr>
        <w:spacing w:after="160" w:line="276" w:lineRule="auto"/>
        <w:rPr>
          <w:rFonts w:ascii="Archivo ExtraLight" w:hAnsi="Archivo ExtraLight" w:cs="Archivo ExtraLight"/>
          <w:sz w:val="22"/>
          <w:szCs w:val="22"/>
          <w:lang w:val="en-US"/>
        </w:rPr>
      </w:pPr>
      <w:r w:rsidRPr="00161360">
        <w:rPr>
          <w:rFonts w:ascii="Archivo ExtraLight" w:hAnsi="Archivo ExtraLight" w:cs="Archivo ExtraLight"/>
          <w:b/>
          <w:bCs/>
          <w:sz w:val="22"/>
          <w:szCs w:val="22"/>
          <w:lang w:val="en-US"/>
        </w:rPr>
        <w:t xml:space="preserve">11. </w:t>
      </w:r>
      <w:proofErr w:type="spellStart"/>
      <w:r w:rsidRPr="00161360">
        <w:rPr>
          <w:rFonts w:ascii="Archivo ExtraLight" w:hAnsi="Archivo ExtraLight" w:cs="Archivo ExtraLight"/>
          <w:sz w:val="22"/>
          <w:szCs w:val="22"/>
          <w:lang w:val="en-US"/>
        </w:rPr>
        <w:t>Dumonceau</w:t>
      </w:r>
      <w:proofErr w:type="spellEnd"/>
      <w:r w:rsidRPr="00161360">
        <w:rPr>
          <w:rFonts w:ascii="Archivo ExtraLight" w:hAnsi="Archivo ExtraLight" w:cs="Archivo ExtraLight"/>
          <w:sz w:val="22"/>
          <w:szCs w:val="22"/>
          <w:lang w:val="en-US"/>
        </w:rPr>
        <w:t xml:space="preserve"> JM, Riphaus A, </w:t>
      </w:r>
      <w:proofErr w:type="spellStart"/>
      <w:r w:rsidRPr="00161360">
        <w:rPr>
          <w:rFonts w:ascii="Archivo ExtraLight" w:hAnsi="Archivo ExtraLight" w:cs="Archivo ExtraLight"/>
          <w:sz w:val="22"/>
          <w:szCs w:val="22"/>
          <w:lang w:val="en-US"/>
        </w:rPr>
        <w:t>Beilenhoff</w:t>
      </w:r>
      <w:proofErr w:type="spellEnd"/>
      <w:r w:rsidRPr="00161360">
        <w:rPr>
          <w:rFonts w:ascii="Archivo ExtraLight" w:hAnsi="Archivo ExtraLight" w:cs="Archivo ExtraLight"/>
          <w:sz w:val="22"/>
          <w:szCs w:val="22"/>
          <w:lang w:val="en-US"/>
        </w:rPr>
        <w:t xml:space="preserve"> U et al. European curriculum for sedation training in gastrointestinal endoscopy. Endoscopy </w:t>
      </w:r>
      <w:proofErr w:type="gramStart"/>
      <w:r w:rsidRPr="00161360">
        <w:rPr>
          <w:rFonts w:ascii="Archivo ExtraLight" w:hAnsi="Archivo ExtraLight" w:cs="Archivo ExtraLight"/>
          <w:sz w:val="22"/>
          <w:szCs w:val="22"/>
          <w:lang w:val="en-US"/>
        </w:rPr>
        <w:t>2013;45:496</w:t>
      </w:r>
      <w:proofErr w:type="gramEnd"/>
      <w:r w:rsidRPr="00161360">
        <w:rPr>
          <w:rFonts w:ascii="Archivo ExtraLight" w:hAnsi="Archivo ExtraLight" w:cs="Archivo ExtraLight"/>
          <w:sz w:val="22"/>
          <w:szCs w:val="22"/>
          <w:lang w:val="en-US"/>
        </w:rPr>
        <w:t>-504.</w:t>
      </w:r>
    </w:p>
    <w:p w14:paraId="5FE5C824" w14:textId="77777777" w:rsidR="004E3CAC" w:rsidRPr="00161360" w:rsidRDefault="00997BC4" w:rsidP="00181DFF">
      <w:pPr>
        <w:spacing w:after="160" w:line="276" w:lineRule="auto"/>
        <w:rPr>
          <w:rFonts w:ascii="Archivo ExtraLight" w:hAnsi="Archivo ExtraLight" w:cs="Archivo ExtraLight"/>
          <w:sz w:val="22"/>
          <w:szCs w:val="22"/>
          <w:lang w:val="en-US"/>
        </w:rPr>
      </w:pPr>
      <w:r w:rsidRPr="00161360">
        <w:rPr>
          <w:rFonts w:ascii="Archivo ExtraLight" w:hAnsi="Archivo ExtraLight" w:cs="Archivo ExtraLight"/>
          <w:b/>
          <w:bCs/>
          <w:sz w:val="22"/>
          <w:szCs w:val="22"/>
          <w:lang w:val="en-US"/>
        </w:rPr>
        <w:t xml:space="preserve">12. </w:t>
      </w:r>
      <w:proofErr w:type="spellStart"/>
      <w:r w:rsidRPr="00161360">
        <w:rPr>
          <w:rFonts w:ascii="Archivo ExtraLight" w:hAnsi="Archivo ExtraLight" w:cs="Archivo ExtraLight"/>
          <w:sz w:val="22"/>
          <w:szCs w:val="22"/>
          <w:lang w:val="en-US"/>
        </w:rPr>
        <w:t>Dumonceau</w:t>
      </w:r>
      <w:proofErr w:type="spellEnd"/>
      <w:r w:rsidRPr="00161360">
        <w:rPr>
          <w:rFonts w:ascii="Archivo ExtraLight" w:hAnsi="Archivo ExtraLight" w:cs="Archivo ExtraLight"/>
          <w:sz w:val="22"/>
          <w:szCs w:val="22"/>
          <w:lang w:val="en-US"/>
        </w:rPr>
        <w:t xml:space="preserve"> JM, Riphaus A, Aparicio JR et al. ESGE Guideline: Non-anesthesiologist administration of propofol for GI endoscopy. Endoscopy </w:t>
      </w:r>
      <w:proofErr w:type="gramStart"/>
      <w:r w:rsidRPr="00161360">
        <w:rPr>
          <w:rFonts w:ascii="Archivo ExtraLight" w:hAnsi="Archivo ExtraLight" w:cs="Archivo ExtraLight"/>
          <w:sz w:val="22"/>
          <w:szCs w:val="22"/>
          <w:lang w:val="en-US"/>
        </w:rPr>
        <w:t>2015;47:1175</w:t>
      </w:r>
      <w:proofErr w:type="gramEnd"/>
      <w:r w:rsidRPr="00161360">
        <w:rPr>
          <w:rFonts w:ascii="Archivo ExtraLight" w:hAnsi="Archivo ExtraLight" w:cs="Archivo ExtraLight"/>
          <w:sz w:val="22"/>
          <w:szCs w:val="22"/>
          <w:lang w:val="en-US"/>
        </w:rPr>
        <w:t>-89.</w:t>
      </w:r>
    </w:p>
    <w:p w14:paraId="0D3BFEE6" w14:textId="77777777" w:rsidR="004E3CAC" w:rsidRPr="00161360" w:rsidRDefault="00997BC4" w:rsidP="00181DFF">
      <w:pPr>
        <w:spacing w:after="160" w:line="276" w:lineRule="auto"/>
        <w:rPr>
          <w:rFonts w:ascii="Archivo ExtraLight" w:hAnsi="Archivo ExtraLight" w:cs="Archivo ExtraLight"/>
          <w:sz w:val="22"/>
          <w:szCs w:val="22"/>
          <w:lang w:val="en-US"/>
        </w:rPr>
      </w:pPr>
      <w:r w:rsidRPr="00161360">
        <w:rPr>
          <w:rFonts w:ascii="Archivo ExtraLight" w:hAnsi="Archivo ExtraLight" w:cs="Archivo ExtraLight"/>
          <w:b/>
          <w:bCs/>
          <w:sz w:val="22"/>
          <w:szCs w:val="22"/>
          <w:lang w:val="en-US"/>
        </w:rPr>
        <w:t xml:space="preserve">13. </w:t>
      </w:r>
      <w:r w:rsidRPr="00161360">
        <w:rPr>
          <w:rFonts w:ascii="Archivo ExtraLight" w:hAnsi="Archivo ExtraLight" w:cs="Archivo ExtraLight"/>
          <w:sz w:val="22"/>
          <w:szCs w:val="22"/>
          <w:lang w:val="en-US"/>
        </w:rPr>
        <w:t xml:space="preserve">American Society of Anesthesiologists. ASA Physical Status Classification System. </w:t>
      </w:r>
      <w:proofErr w:type="spellStart"/>
      <w:r w:rsidRPr="00161360">
        <w:rPr>
          <w:rFonts w:ascii="Archivo ExtraLight" w:hAnsi="Archivo ExtraLight" w:cs="Archivo ExtraLight"/>
          <w:sz w:val="22"/>
          <w:szCs w:val="22"/>
          <w:lang w:val="en-US"/>
        </w:rPr>
        <w:t>Actualización</w:t>
      </w:r>
      <w:proofErr w:type="spellEnd"/>
      <w:r w:rsidRPr="00161360">
        <w:rPr>
          <w:rFonts w:ascii="Archivo ExtraLight" w:hAnsi="Archivo ExtraLight" w:cs="Archivo ExtraLight"/>
          <w:sz w:val="22"/>
          <w:szCs w:val="22"/>
          <w:lang w:val="en-US"/>
        </w:rPr>
        <w:t xml:space="preserve"> </w:t>
      </w:r>
      <w:proofErr w:type="spellStart"/>
      <w:r w:rsidRPr="00161360">
        <w:rPr>
          <w:rFonts w:ascii="Archivo ExtraLight" w:hAnsi="Archivo ExtraLight" w:cs="Archivo ExtraLight"/>
          <w:sz w:val="22"/>
          <w:szCs w:val="22"/>
          <w:lang w:val="en-US"/>
        </w:rPr>
        <w:t>diciembre</w:t>
      </w:r>
      <w:proofErr w:type="spellEnd"/>
      <w:r w:rsidRPr="00161360">
        <w:rPr>
          <w:rFonts w:ascii="Archivo ExtraLight" w:hAnsi="Archivo ExtraLight" w:cs="Archivo ExtraLight"/>
          <w:sz w:val="22"/>
          <w:szCs w:val="22"/>
          <w:lang w:val="en-US"/>
        </w:rPr>
        <w:t xml:space="preserve"> 2020. Disponible </w:t>
      </w:r>
      <w:proofErr w:type="spellStart"/>
      <w:r w:rsidRPr="00161360">
        <w:rPr>
          <w:rFonts w:ascii="Archivo ExtraLight" w:hAnsi="Archivo ExtraLight" w:cs="Archivo ExtraLight"/>
          <w:sz w:val="22"/>
          <w:szCs w:val="22"/>
          <w:lang w:val="en-US"/>
        </w:rPr>
        <w:t>en</w:t>
      </w:r>
      <w:proofErr w:type="spellEnd"/>
      <w:r w:rsidRPr="00161360">
        <w:rPr>
          <w:rFonts w:ascii="Archivo ExtraLight" w:hAnsi="Archivo ExtraLight" w:cs="Archivo ExtraLight"/>
          <w:sz w:val="22"/>
          <w:szCs w:val="22"/>
          <w:lang w:val="en-US"/>
        </w:rPr>
        <w:t>: www.asahq.org.</w:t>
      </w:r>
    </w:p>
    <w:p w14:paraId="51AE6DA8" w14:textId="77777777" w:rsidR="004E3CAC" w:rsidRPr="00161360" w:rsidRDefault="00997BC4" w:rsidP="00181DFF">
      <w:pPr>
        <w:spacing w:after="160" w:line="276" w:lineRule="auto"/>
        <w:rPr>
          <w:rFonts w:ascii="Archivo ExtraLight" w:hAnsi="Archivo ExtraLight" w:cs="Archivo ExtraLight"/>
          <w:sz w:val="22"/>
          <w:szCs w:val="22"/>
          <w:lang w:val="en-US"/>
        </w:rPr>
      </w:pPr>
      <w:r w:rsidRPr="00161360">
        <w:rPr>
          <w:rFonts w:ascii="Archivo ExtraLight" w:hAnsi="Archivo ExtraLight" w:cs="Archivo ExtraLight"/>
          <w:b/>
          <w:bCs/>
          <w:sz w:val="22"/>
          <w:szCs w:val="22"/>
          <w:lang w:val="en-US"/>
        </w:rPr>
        <w:t xml:space="preserve">14. </w:t>
      </w:r>
      <w:r w:rsidRPr="00161360">
        <w:rPr>
          <w:rFonts w:ascii="Archivo ExtraLight" w:hAnsi="Archivo ExtraLight" w:cs="Archivo ExtraLight"/>
          <w:sz w:val="22"/>
          <w:szCs w:val="22"/>
          <w:lang w:val="en-US"/>
        </w:rPr>
        <w:t xml:space="preserve">Allen ML. Safety of deep sedation in the endoscopy suite. Curr </w:t>
      </w:r>
      <w:proofErr w:type="spellStart"/>
      <w:r w:rsidRPr="00161360">
        <w:rPr>
          <w:rFonts w:ascii="Archivo ExtraLight" w:hAnsi="Archivo ExtraLight" w:cs="Archivo ExtraLight"/>
          <w:sz w:val="22"/>
          <w:szCs w:val="22"/>
          <w:lang w:val="en-US"/>
        </w:rPr>
        <w:t>Opin</w:t>
      </w:r>
      <w:proofErr w:type="spellEnd"/>
      <w:r w:rsidRPr="00161360">
        <w:rPr>
          <w:rFonts w:ascii="Archivo ExtraLight" w:hAnsi="Archivo ExtraLight" w:cs="Archivo ExtraLight"/>
          <w:sz w:val="22"/>
          <w:szCs w:val="22"/>
          <w:lang w:val="en-US"/>
        </w:rPr>
        <w:t xml:space="preserve"> </w:t>
      </w:r>
      <w:proofErr w:type="spellStart"/>
      <w:r w:rsidRPr="00161360">
        <w:rPr>
          <w:rFonts w:ascii="Archivo ExtraLight" w:hAnsi="Archivo ExtraLight" w:cs="Archivo ExtraLight"/>
          <w:sz w:val="22"/>
          <w:szCs w:val="22"/>
          <w:lang w:val="en-US"/>
        </w:rPr>
        <w:t>Anaesthesiol</w:t>
      </w:r>
      <w:proofErr w:type="spellEnd"/>
      <w:r w:rsidRPr="00161360">
        <w:rPr>
          <w:rFonts w:ascii="Archivo ExtraLight" w:hAnsi="Archivo ExtraLight" w:cs="Archivo ExtraLight"/>
          <w:sz w:val="22"/>
          <w:szCs w:val="22"/>
          <w:lang w:val="en-US"/>
        </w:rPr>
        <w:t>. 2017;30(4):501-506.</w:t>
      </w:r>
    </w:p>
    <w:p w14:paraId="2BB1B766" w14:textId="77777777" w:rsidR="004E3CAC" w:rsidRPr="00161360" w:rsidRDefault="00997BC4" w:rsidP="00181DFF">
      <w:pPr>
        <w:spacing w:after="160" w:line="276" w:lineRule="auto"/>
        <w:rPr>
          <w:rFonts w:ascii="Archivo ExtraLight" w:hAnsi="Archivo ExtraLight" w:cs="Archivo ExtraLight"/>
          <w:sz w:val="22"/>
          <w:szCs w:val="22"/>
          <w:lang w:val="en-US"/>
        </w:rPr>
      </w:pPr>
      <w:r w:rsidRPr="00161360">
        <w:rPr>
          <w:rFonts w:ascii="Archivo ExtraLight" w:hAnsi="Archivo ExtraLight" w:cs="Archivo ExtraLight"/>
          <w:b/>
          <w:bCs/>
          <w:sz w:val="22"/>
          <w:szCs w:val="22"/>
          <w:lang w:val="en-US"/>
        </w:rPr>
        <w:t xml:space="preserve">15. </w:t>
      </w:r>
      <w:proofErr w:type="spellStart"/>
      <w:r w:rsidRPr="00161360">
        <w:rPr>
          <w:rFonts w:ascii="Archivo ExtraLight" w:hAnsi="Archivo ExtraLight" w:cs="Archivo ExtraLight"/>
          <w:sz w:val="22"/>
          <w:szCs w:val="22"/>
          <w:lang w:val="en-US"/>
        </w:rPr>
        <w:t>Dumonceau</w:t>
      </w:r>
      <w:proofErr w:type="spellEnd"/>
      <w:r w:rsidRPr="00161360">
        <w:rPr>
          <w:rFonts w:ascii="Archivo ExtraLight" w:hAnsi="Archivo ExtraLight" w:cs="Archivo ExtraLight"/>
          <w:sz w:val="22"/>
          <w:szCs w:val="22"/>
          <w:lang w:val="en-US"/>
        </w:rPr>
        <w:t xml:space="preserve"> JM. Will societies of </w:t>
      </w:r>
      <w:proofErr w:type="gramStart"/>
      <w:r w:rsidRPr="00161360">
        <w:rPr>
          <w:rFonts w:ascii="Archivo ExtraLight" w:hAnsi="Archivo ExtraLight" w:cs="Archivo ExtraLight"/>
          <w:sz w:val="22"/>
          <w:szCs w:val="22"/>
          <w:lang w:val="en-US"/>
        </w:rPr>
        <w:t>anesthesiologists partake</w:t>
      </w:r>
      <w:proofErr w:type="gramEnd"/>
      <w:r w:rsidRPr="00161360">
        <w:rPr>
          <w:rFonts w:ascii="Archivo ExtraLight" w:hAnsi="Archivo ExtraLight" w:cs="Archivo ExtraLight"/>
          <w:sz w:val="22"/>
          <w:szCs w:val="22"/>
          <w:lang w:val="en-US"/>
        </w:rPr>
        <w:t xml:space="preserve"> in the take-off of non-anesthesiologist administration of propofol? Rev Esp </w:t>
      </w:r>
      <w:proofErr w:type="spellStart"/>
      <w:r w:rsidRPr="00161360">
        <w:rPr>
          <w:rFonts w:ascii="Archivo ExtraLight" w:hAnsi="Archivo ExtraLight" w:cs="Archivo ExtraLight"/>
          <w:sz w:val="22"/>
          <w:szCs w:val="22"/>
          <w:lang w:val="en-US"/>
        </w:rPr>
        <w:t>Enferm</w:t>
      </w:r>
      <w:proofErr w:type="spellEnd"/>
      <w:r w:rsidRPr="00161360">
        <w:rPr>
          <w:rFonts w:ascii="Archivo ExtraLight" w:hAnsi="Archivo ExtraLight" w:cs="Archivo ExtraLight"/>
          <w:sz w:val="22"/>
          <w:szCs w:val="22"/>
          <w:lang w:val="en-US"/>
        </w:rPr>
        <w:t xml:space="preserve"> Dig. 2017;109(2):87-90.</w:t>
      </w:r>
    </w:p>
    <w:p w14:paraId="5BD59713" w14:textId="77777777" w:rsidR="004E3CAC" w:rsidRPr="00161360" w:rsidRDefault="00997BC4" w:rsidP="00181DFF">
      <w:pPr>
        <w:spacing w:after="160" w:line="276" w:lineRule="auto"/>
        <w:rPr>
          <w:rFonts w:ascii="Archivo ExtraLight" w:hAnsi="Archivo ExtraLight" w:cs="Archivo ExtraLight"/>
          <w:sz w:val="22"/>
          <w:szCs w:val="22"/>
          <w:lang w:val="en-US"/>
        </w:rPr>
      </w:pPr>
      <w:r w:rsidRPr="00161360">
        <w:rPr>
          <w:rFonts w:ascii="Archivo ExtraLight" w:hAnsi="Archivo ExtraLight" w:cs="Archivo ExtraLight"/>
          <w:b/>
          <w:bCs/>
          <w:sz w:val="22"/>
          <w:szCs w:val="22"/>
          <w:lang w:val="en-US"/>
        </w:rPr>
        <w:lastRenderedPageBreak/>
        <w:t xml:space="preserve">16. </w:t>
      </w:r>
      <w:r w:rsidRPr="00161360">
        <w:rPr>
          <w:rFonts w:ascii="Archivo ExtraLight" w:hAnsi="Archivo ExtraLight" w:cs="Archivo ExtraLight"/>
          <w:sz w:val="22"/>
          <w:szCs w:val="22"/>
          <w:lang w:val="en-US"/>
        </w:rPr>
        <w:t>Daza JF, Tan CM, Fielding RJ et al. Propofol administration by endoscopists versus anesthesiologists in gastrointestinal endoscopy: a systematic review and meta-analysis of patient safety outcomes. Can J Surg. 2018;61(4):226-236.</w:t>
      </w:r>
    </w:p>
    <w:p w14:paraId="2C1197A2"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b/>
          <w:bCs/>
          <w:sz w:val="22"/>
          <w:szCs w:val="22"/>
          <w:lang w:val="en-US"/>
        </w:rPr>
        <w:t xml:space="preserve">17. </w:t>
      </w:r>
      <w:proofErr w:type="spellStart"/>
      <w:r w:rsidRPr="00161360">
        <w:rPr>
          <w:rFonts w:ascii="Archivo ExtraLight" w:hAnsi="Archivo ExtraLight" w:cs="Archivo ExtraLight"/>
          <w:sz w:val="22"/>
          <w:szCs w:val="22"/>
          <w:lang w:val="en-US"/>
        </w:rPr>
        <w:t>Stogiannou</w:t>
      </w:r>
      <w:proofErr w:type="spellEnd"/>
      <w:r w:rsidRPr="00161360">
        <w:rPr>
          <w:rFonts w:ascii="Archivo ExtraLight" w:hAnsi="Archivo ExtraLight" w:cs="Archivo ExtraLight"/>
          <w:sz w:val="22"/>
          <w:szCs w:val="22"/>
          <w:lang w:val="en-US"/>
        </w:rPr>
        <w:t xml:space="preserve"> D, Protopapas A, Protopapas A, </w:t>
      </w:r>
      <w:proofErr w:type="spellStart"/>
      <w:r w:rsidRPr="00161360">
        <w:rPr>
          <w:rFonts w:ascii="Archivo ExtraLight" w:hAnsi="Archivo ExtraLight" w:cs="Archivo ExtraLight"/>
          <w:sz w:val="22"/>
          <w:szCs w:val="22"/>
          <w:lang w:val="en-US"/>
        </w:rPr>
        <w:t>Tziomalos</w:t>
      </w:r>
      <w:proofErr w:type="spellEnd"/>
      <w:r w:rsidRPr="00161360">
        <w:rPr>
          <w:rFonts w:ascii="Archivo ExtraLight" w:hAnsi="Archivo ExtraLight" w:cs="Archivo ExtraLight"/>
          <w:sz w:val="22"/>
          <w:szCs w:val="22"/>
          <w:lang w:val="en-US"/>
        </w:rPr>
        <w:t xml:space="preserve"> K. Is propofol the optimal sedative in gastrointestinal endoscopy? </w:t>
      </w:r>
      <w:r w:rsidRPr="00161360">
        <w:rPr>
          <w:rFonts w:ascii="Archivo ExtraLight" w:hAnsi="Archivo ExtraLight" w:cs="Archivo ExtraLight"/>
          <w:sz w:val="22"/>
          <w:szCs w:val="22"/>
        </w:rPr>
        <w:t xml:space="preserve">Acta </w:t>
      </w:r>
      <w:proofErr w:type="spellStart"/>
      <w:r w:rsidRPr="00161360">
        <w:rPr>
          <w:rFonts w:ascii="Archivo ExtraLight" w:hAnsi="Archivo ExtraLight" w:cs="Archivo ExtraLight"/>
          <w:sz w:val="22"/>
          <w:szCs w:val="22"/>
        </w:rPr>
        <w:t>Gastroenterol</w:t>
      </w:r>
      <w:proofErr w:type="spellEnd"/>
      <w:r w:rsidRPr="00161360">
        <w:rPr>
          <w:rFonts w:ascii="Archivo ExtraLight" w:hAnsi="Archivo ExtraLight" w:cs="Archivo ExtraLight"/>
          <w:sz w:val="22"/>
          <w:szCs w:val="22"/>
        </w:rPr>
        <w:t xml:space="preserve"> </w:t>
      </w:r>
      <w:proofErr w:type="spellStart"/>
      <w:r w:rsidRPr="00161360">
        <w:rPr>
          <w:rFonts w:ascii="Archivo ExtraLight" w:hAnsi="Archivo ExtraLight" w:cs="Archivo ExtraLight"/>
          <w:sz w:val="22"/>
          <w:szCs w:val="22"/>
        </w:rPr>
        <w:t>Belg</w:t>
      </w:r>
      <w:proofErr w:type="spellEnd"/>
      <w:r w:rsidRPr="00161360">
        <w:rPr>
          <w:rFonts w:ascii="Archivo ExtraLight" w:hAnsi="Archivo ExtraLight" w:cs="Archivo ExtraLight"/>
          <w:sz w:val="22"/>
          <w:szCs w:val="22"/>
        </w:rPr>
        <w:t>. 2018;81(4):520-524.</w:t>
      </w:r>
    </w:p>
    <w:p w14:paraId="39F2F2A0"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b/>
          <w:bCs/>
          <w:sz w:val="22"/>
          <w:szCs w:val="22"/>
        </w:rPr>
        <w:t xml:space="preserve">18. </w:t>
      </w:r>
      <w:proofErr w:type="spellStart"/>
      <w:r w:rsidRPr="00161360">
        <w:rPr>
          <w:rFonts w:ascii="Archivo ExtraLight" w:hAnsi="Archivo ExtraLight" w:cs="Archivo ExtraLight"/>
          <w:sz w:val="22"/>
          <w:szCs w:val="22"/>
        </w:rPr>
        <w:t>Facciorusso</w:t>
      </w:r>
      <w:proofErr w:type="spellEnd"/>
      <w:r w:rsidRPr="00161360">
        <w:rPr>
          <w:rFonts w:ascii="Archivo ExtraLight" w:hAnsi="Archivo ExtraLight" w:cs="Archivo ExtraLight"/>
          <w:sz w:val="22"/>
          <w:szCs w:val="22"/>
        </w:rPr>
        <w:t xml:space="preserve"> A, Turco A, </w:t>
      </w:r>
      <w:proofErr w:type="spellStart"/>
      <w:r w:rsidRPr="00161360">
        <w:rPr>
          <w:rFonts w:ascii="Archivo ExtraLight" w:hAnsi="Archivo ExtraLight" w:cs="Archivo ExtraLight"/>
          <w:sz w:val="22"/>
          <w:szCs w:val="22"/>
        </w:rPr>
        <w:t>Barnabà</w:t>
      </w:r>
      <w:proofErr w:type="spellEnd"/>
      <w:r w:rsidRPr="00161360">
        <w:rPr>
          <w:rFonts w:ascii="Archivo ExtraLight" w:hAnsi="Archivo ExtraLight" w:cs="Archivo ExtraLight"/>
          <w:sz w:val="22"/>
          <w:szCs w:val="22"/>
        </w:rPr>
        <w:t xml:space="preserve"> C et al. </w:t>
      </w:r>
      <w:r w:rsidRPr="00161360">
        <w:rPr>
          <w:rFonts w:ascii="Archivo ExtraLight" w:hAnsi="Archivo ExtraLight" w:cs="Archivo ExtraLight"/>
          <w:sz w:val="22"/>
          <w:szCs w:val="22"/>
          <w:lang w:val="en-US"/>
        </w:rPr>
        <w:t xml:space="preserve">Efficacy and safety of non-anesthesiologist administration of propofol sedation in endoscopic ultrasound: a propensity score analysis. </w:t>
      </w:r>
      <w:proofErr w:type="spellStart"/>
      <w:r w:rsidRPr="00161360">
        <w:rPr>
          <w:rFonts w:ascii="Archivo ExtraLight" w:hAnsi="Archivo ExtraLight" w:cs="Archivo ExtraLight"/>
          <w:sz w:val="22"/>
          <w:szCs w:val="22"/>
        </w:rPr>
        <w:t>Diagnostics</w:t>
      </w:r>
      <w:proofErr w:type="spellEnd"/>
      <w:r w:rsidRPr="00161360">
        <w:rPr>
          <w:rFonts w:ascii="Archivo ExtraLight" w:hAnsi="Archivo ExtraLight" w:cs="Archivo ExtraLight"/>
          <w:sz w:val="22"/>
          <w:szCs w:val="22"/>
        </w:rPr>
        <w:t xml:space="preserve"> (Basel). 2020;10(10):791.</w:t>
      </w:r>
    </w:p>
    <w:p w14:paraId="3852B69F" w14:textId="77777777" w:rsidR="004E3CAC" w:rsidRPr="00161360" w:rsidRDefault="00997BC4" w:rsidP="00181DFF">
      <w:pPr>
        <w:spacing w:after="160" w:line="276" w:lineRule="auto"/>
        <w:rPr>
          <w:rFonts w:ascii="Archivo ExtraLight" w:hAnsi="Archivo ExtraLight" w:cs="Archivo ExtraLight"/>
          <w:sz w:val="22"/>
          <w:szCs w:val="22"/>
          <w:lang w:val="en-US"/>
        </w:rPr>
      </w:pPr>
      <w:r w:rsidRPr="00161360">
        <w:rPr>
          <w:rFonts w:ascii="Archivo ExtraLight" w:hAnsi="Archivo ExtraLight" w:cs="Archivo ExtraLight"/>
          <w:b/>
          <w:bCs/>
          <w:sz w:val="22"/>
          <w:szCs w:val="22"/>
        </w:rPr>
        <w:t xml:space="preserve">19. </w:t>
      </w:r>
      <w:r w:rsidRPr="00161360">
        <w:rPr>
          <w:rFonts w:ascii="Archivo ExtraLight" w:hAnsi="Archivo ExtraLight" w:cs="Archivo ExtraLight"/>
          <w:sz w:val="22"/>
          <w:szCs w:val="22"/>
        </w:rPr>
        <w:t xml:space="preserve">Alburquerque M, </w:t>
      </w:r>
      <w:proofErr w:type="spellStart"/>
      <w:r w:rsidRPr="00161360">
        <w:rPr>
          <w:rFonts w:ascii="Archivo ExtraLight" w:hAnsi="Archivo ExtraLight" w:cs="Archivo ExtraLight"/>
          <w:sz w:val="22"/>
          <w:szCs w:val="22"/>
        </w:rPr>
        <w:t>Smarrelli</w:t>
      </w:r>
      <w:proofErr w:type="spellEnd"/>
      <w:r w:rsidRPr="00161360">
        <w:rPr>
          <w:rFonts w:ascii="Archivo ExtraLight" w:hAnsi="Archivo ExtraLight" w:cs="Archivo ExtraLight"/>
          <w:sz w:val="22"/>
          <w:szCs w:val="22"/>
        </w:rPr>
        <w:t xml:space="preserve"> A, </w:t>
      </w:r>
      <w:proofErr w:type="spellStart"/>
      <w:r w:rsidRPr="00161360">
        <w:rPr>
          <w:rFonts w:ascii="Archivo ExtraLight" w:hAnsi="Archivo ExtraLight" w:cs="Archivo ExtraLight"/>
          <w:sz w:val="22"/>
          <w:szCs w:val="22"/>
        </w:rPr>
        <w:t>Chevarría</w:t>
      </w:r>
      <w:proofErr w:type="spellEnd"/>
      <w:r w:rsidRPr="00161360">
        <w:rPr>
          <w:rFonts w:ascii="Archivo ExtraLight" w:hAnsi="Archivo ExtraLight" w:cs="Archivo ExtraLight"/>
          <w:sz w:val="22"/>
          <w:szCs w:val="22"/>
        </w:rPr>
        <w:t xml:space="preserve"> Montesinos JC et al. </w:t>
      </w:r>
      <w:r w:rsidRPr="00161360">
        <w:rPr>
          <w:rFonts w:ascii="Archivo ExtraLight" w:hAnsi="Archivo ExtraLight" w:cs="Archivo ExtraLight"/>
          <w:sz w:val="22"/>
          <w:szCs w:val="22"/>
          <w:lang w:val="en-US"/>
        </w:rPr>
        <w:t xml:space="preserve">Outcomes of colonoscopy with non-anesthesiologist-administered propofol (NAAP): an equivalence trial. </w:t>
      </w:r>
      <w:proofErr w:type="spellStart"/>
      <w:r w:rsidRPr="00161360">
        <w:rPr>
          <w:rFonts w:ascii="Archivo ExtraLight" w:hAnsi="Archivo ExtraLight" w:cs="Archivo ExtraLight"/>
          <w:sz w:val="22"/>
          <w:szCs w:val="22"/>
          <w:lang w:val="en-US"/>
        </w:rPr>
        <w:t>Endosc</w:t>
      </w:r>
      <w:proofErr w:type="spellEnd"/>
      <w:r w:rsidRPr="00161360">
        <w:rPr>
          <w:rFonts w:ascii="Archivo ExtraLight" w:hAnsi="Archivo ExtraLight" w:cs="Archivo ExtraLight"/>
          <w:sz w:val="22"/>
          <w:szCs w:val="22"/>
          <w:lang w:val="en-US"/>
        </w:rPr>
        <w:t xml:space="preserve"> Int Open. 2021;9(7</w:t>
      </w:r>
      <w:proofErr w:type="gramStart"/>
      <w:r w:rsidRPr="00161360">
        <w:rPr>
          <w:rFonts w:ascii="Archivo ExtraLight" w:hAnsi="Archivo ExtraLight" w:cs="Archivo ExtraLight"/>
          <w:sz w:val="22"/>
          <w:szCs w:val="22"/>
          <w:lang w:val="en-US"/>
        </w:rPr>
        <w:t>):E</w:t>
      </w:r>
      <w:proofErr w:type="gramEnd"/>
      <w:r w:rsidRPr="00161360">
        <w:rPr>
          <w:rFonts w:ascii="Archivo ExtraLight" w:hAnsi="Archivo ExtraLight" w:cs="Archivo ExtraLight"/>
          <w:sz w:val="22"/>
          <w:szCs w:val="22"/>
          <w:lang w:val="en-US"/>
        </w:rPr>
        <w:t>1070-E1076.</w:t>
      </w:r>
    </w:p>
    <w:p w14:paraId="5834CB13" w14:textId="77777777" w:rsidR="004E3CAC" w:rsidRPr="00161360" w:rsidRDefault="00997BC4" w:rsidP="00181DFF">
      <w:pPr>
        <w:spacing w:after="160" w:line="276" w:lineRule="auto"/>
        <w:rPr>
          <w:rFonts w:ascii="Archivo ExtraLight" w:hAnsi="Archivo ExtraLight" w:cs="Archivo ExtraLight"/>
          <w:sz w:val="22"/>
          <w:szCs w:val="22"/>
          <w:lang w:val="en-US"/>
        </w:rPr>
      </w:pPr>
      <w:r w:rsidRPr="00161360">
        <w:rPr>
          <w:rFonts w:ascii="Archivo ExtraLight" w:hAnsi="Archivo ExtraLight" w:cs="Archivo ExtraLight"/>
          <w:b/>
          <w:bCs/>
          <w:sz w:val="22"/>
          <w:szCs w:val="22"/>
          <w:lang w:val="en-US"/>
        </w:rPr>
        <w:t xml:space="preserve">20. </w:t>
      </w:r>
      <w:r w:rsidRPr="00161360">
        <w:rPr>
          <w:rFonts w:ascii="Archivo ExtraLight" w:hAnsi="Archivo ExtraLight" w:cs="Archivo ExtraLight"/>
          <w:sz w:val="22"/>
          <w:szCs w:val="22"/>
          <w:lang w:val="en-US"/>
        </w:rPr>
        <w:t>Drews J, Harder J, Kaiser H et al. Impact of a simple non-invasive nasal mask device on intraprocedural hypoxemia in overweight individuals undergoing upper gastrointestinal endoscopy with sedation provided by a non-anesthesiologist provider. Clin Endosc. 2024;57(2):196-202.</w:t>
      </w:r>
    </w:p>
    <w:p w14:paraId="7C5F8585"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b/>
          <w:bCs/>
          <w:sz w:val="22"/>
          <w:szCs w:val="22"/>
          <w:lang w:val="en-US"/>
        </w:rPr>
        <w:t xml:space="preserve">21. </w:t>
      </w:r>
      <w:r w:rsidRPr="00161360">
        <w:rPr>
          <w:rFonts w:ascii="Archivo ExtraLight" w:hAnsi="Archivo ExtraLight" w:cs="Archivo ExtraLight"/>
          <w:sz w:val="22"/>
          <w:szCs w:val="22"/>
          <w:lang w:val="en-US"/>
        </w:rPr>
        <w:t xml:space="preserve">Johnson G, Okoli GN, Askin N et al. Propofol for sedation during colonoscopy. </w:t>
      </w:r>
      <w:r w:rsidRPr="00161360">
        <w:rPr>
          <w:rFonts w:ascii="Archivo ExtraLight" w:hAnsi="Archivo ExtraLight" w:cs="Archivo ExtraLight"/>
          <w:sz w:val="22"/>
          <w:szCs w:val="22"/>
        </w:rPr>
        <w:t xml:space="preserve">Cochrane Database </w:t>
      </w:r>
      <w:proofErr w:type="spellStart"/>
      <w:r w:rsidRPr="00161360">
        <w:rPr>
          <w:rFonts w:ascii="Archivo ExtraLight" w:hAnsi="Archivo ExtraLight" w:cs="Archivo ExtraLight"/>
          <w:sz w:val="22"/>
          <w:szCs w:val="22"/>
        </w:rPr>
        <w:t>Syst</w:t>
      </w:r>
      <w:proofErr w:type="spellEnd"/>
      <w:r w:rsidRPr="00161360">
        <w:rPr>
          <w:rFonts w:ascii="Archivo ExtraLight" w:hAnsi="Archivo ExtraLight" w:cs="Archivo ExtraLight"/>
          <w:sz w:val="22"/>
          <w:szCs w:val="22"/>
        </w:rPr>
        <w:t xml:space="preserve"> Rev. 2025;10:CD006268.</w:t>
      </w:r>
    </w:p>
    <w:p w14:paraId="7792358D"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br w:type="page"/>
      </w:r>
    </w:p>
    <w:p w14:paraId="3F1D5457" w14:textId="77777777" w:rsidR="004E3CAC" w:rsidRPr="00C0342B" w:rsidRDefault="00997BC4" w:rsidP="008840D7">
      <w:pPr>
        <w:pStyle w:val="Ttulo1"/>
        <w:pBdr>
          <w:bottom w:val="single" w:sz="8" w:space="4" w:color="35506B"/>
        </w:pBdr>
        <w:spacing w:before="480" w:after="200" w:line="276" w:lineRule="auto"/>
        <w:rPr>
          <w:rFonts w:ascii="Archivo ExtraLight" w:hAnsi="Archivo ExtraLight" w:cs="Archivo ExtraLight"/>
          <w:color w:val="040C55"/>
          <w:sz w:val="22"/>
          <w:szCs w:val="22"/>
        </w:rPr>
      </w:pPr>
      <w:r w:rsidRPr="00C0342B">
        <w:rPr>
          <w:rFonts w:ascii="Archivo ExtraLight" w:hAnsi="Archivo ExtraLight" w:cs="Archivo ExtraLight"/>
          <w:b/>
          <w:bCs/>
          <w:color w:val="040C55"/>
          <w:sz w:val="22"/>
          <w:szCs w:val="22"/>
        </w:rPr>
        <w:lastRenderedPageBreak/>
        <w:t>ANEXO — HOJA DE REGISTRO DE SEDACIÓN-ANALGESIA</w:t>
      </w:r>
    </w:p>
    <w:p w14:paraId="633959A8"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sz w:val="22"/>
          <w:szCs w:val="22"/>
        </w:rPr>
        <w:t>Apellidos: _____________________________________   Nombre: _____________________________</w:t>
      </w:r>
    </w:p>
    <w:p w14:paraId="2A3169E2"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sz w:val="22"/>
          <w:szCs w:val="22"/>
        </w:rPr>
        <w:t>Nº Hª Cª: _______________________   F. Nacimiento: ___________________   Peso: __________ kg</w:t>
      </w:r>
    </w:p>
    <w:p w14:paraId="44B7D380"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sz w:val="22"/>
          <w:szCs w:val="22"/>
        </w:rPr>
        <w:t>Procedencia: ___________________</w:t>
      </w:r>
    </w:p>
    <w:p w14:paraId="5B39AB84" w14:textId="77777777" w:rsidR="004E3CAC" w:rsidRPr="00C0342B" w:rsidRDefault="00997BC4" w:rsidP="00181DFF">
      <w:pPr>
        <w:pStyle w:val="Ttulo3"/>
        <w:spacing w:before="220" w:after="100" w:line="276" w:lineRule="auto"/>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Exploración</w:t>
      </w:r>
    </w:p>
    <w:p w14:paraId="4E75D4DF"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Gastroscopia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Colonoscopia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CPRE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EUS alta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EUS terapéutica</w:t>
      </w:r>
    </w:p>
    <w:p w14:paraId="19745AC3"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EDB alta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EDB baja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ESD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PEG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POEM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Otras: ___________________</w:t>
      </w:r>
    </w:p>
    <w:p w14:paraId="1FCAA5F6" w14:textId="77777777" w:rsidR="004E3CAC" w:rsidRPr="00C0342B" w:rsidRDefault="00997BC4" w:rsidP="00181DFF">
      <w:pPr>
        <w:pStyle w:val="Ttulo3"/>
        <w:spacing w:before="220" w:after="100" w:line="276" w:lineRule="auto"/>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Valoración previa</w:t>
      </w:r>
    </w:p>
    <w:p w14:paraId="3C4D8DE8"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sz w:val="22"/>
          <w:szCs w:val="22"/>
        </w:rPr>
        <w:t xml:space="preserve">ASA: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I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II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III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IV</w:t>
      </w:r>
    </w:p>
    <w:p w14:paraId="0649D853"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sz w:val="22"/>
          <w:szCs w:val="22"/>
        </w:rPr>
        <w:t xml:space="preserve">Alergias: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Ninguna conocida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Huevo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Soja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Látex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Otras: ____________________</w:t>
      </w:r>
    </w:p>
    <w:p w14:paraId="59FC8FDD"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Acompañante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Ayuno correcto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Prótesis dentales retiradas</w:t>
      </w:r>
    </w:p>
    <w:p w14:paraId="4927F577"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Consentimiento informado firmado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Embarazo descartado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Antecedentes adversos a sedación/anestesia</w:t>
      </w:r>
    </w:p>
    <w:p w14:paraId="1D00AA74"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SAOS conocido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Vía aérea difícil prevista (Mallampati: _______)</w:t>
      </w:r>
    </w:p>
    <w:p w14:paraId="3D97DDE9"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sz w:val="22"/>
          <w:szCs w:val="22"/>
        </w:rPr>
        <w:t>Enfermedades crónicas relevantes: ________________________________________________________________</w:t>
      </w:r>
    </w:p>
    <w:p w14:paraId="06290F36"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sz w:val="22"/>
          <w:szCs w:val="22"/>
        </w:rPr>
        <w:t>Medicación habitual: _________________________________________________________________________</w:t>
      </w:r>
    </w:p>
    <w:p w14:paraId="70393CBE" w14:textId="77777777" w:rsidR="004E3CAC" w:rsidRPr="00C0342B" w:rsidRDefault="00997BC4" w:rsidP="00181DFF">
      <w:pPr>
        <w:pStyle w:val="Ttulo3"/>
        <w:spacing w:before="220" w:after="100" w:line="276" w:lineRule="auto"/>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Monitorización durante la exploración</w:t>
      </w:r>
    </w:p>
    <w:p w14:paraId="5EDC32B8"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sz w:val="22"/>
          <w:szCs w:val="22"/>
        </w:rPr>
        <w:t>Fecha: __________   Hora inicio: _______   Hora finalización: _______</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8"/>
        <w:gridCol w:w="1039"/>
        <w:gridCol w:w="1039"/>
        <w:gridCol w:w="1039"/>
        <w:gridCol w:w="1039"/>
        <w:gridCol w:w="1039"/>
        <w:gridCol w:w="1039"/>
        <w:gridCol w:w="1039"/>
        <w:gridCol w:w="1039"/>
      </w:tblGrid>
      <w:tr w:rsidR="004E3CAC" w:rsidRPr="00161360" w14:paraId="1132CC23" w14:textId="77777777">
        <w:trPr>
          <w:tblHeader/>
        </w:trPr>
        <w:tc>
          <w:tcPr>
            <w:tcW w:w="1038" w:type="dxa"/>
            <w:shd w:val="clear" w:color="auto" w:fill="EAEEF1"/>
            <w:tcMar>
              <w:top w:w="60" w:type="dxa"/>
              <w:left w:w="60" w:type="dxa"/>
              <w:bottom w:w="60" w:type="dxa"/>
              <w:right w:w="60" w:type="dxa"/>
            </w:tcMar>
          </w:tcPr>
          <w:p w14:paraId="409293B0"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b/>
                <w:bCs/>
                <w:sz w:val="22"/>
                <w:szCs w:val="22"/>
              </w:rPr>
              <w:t>Min</w:t>
            </w:r>
          </w:p>
        </w:tc>
        <w:tc>
          <w:tcPr>
            <w:tcW w:w="1038" w:type="dxa"/>
            <w:shd w:val="clear" w:color="auto" w:fill="EAEEF1"/>
            <w:tcMar>
              <w:top w:w="60" w:type="dxa"/>
              <w:left w:w="60" w:type="dxa"/>
              <w:bottom w:w="60" w:type="dxa"/>
              <w:right w:w="60" w:type="dxa"/>
            </w:tcMar>
          </w:tcPr>
          <w:p w14:paraId="52388E6B"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b/>
                <w:bCs/>
                <w:sz w:val="22"/>
                <w:szCs w:val="22"/>
              </w:rPr>
              <w:t>0</w:t>
            </w:r>
          </w:p>
        </w:tc>
        <w:tc>
          <w:tcPr>
            <w:tcW w:w="1038" w:type="dxa"/>
            <w:shd w:val="clear" w:color="auto" w:fill="EAEEF1"/>
            <w:tcMar>
              <w:top w:w="60" w:type="dxa"/>
              <w:left w:w="60" w:type="dxa"/>
              <w:bottom w:w="60" w:type="dxa"/>
              <w:right w:w="60" w:type="dxa"/>
            </w:tcMar>
          </w:tcPr>
          <w:p w14:paraId="5EBC83A6"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b/>
                <w:bCs/>
                <w:sz w:val="22"/>
                <w:szCs w:val="22"/>
              </w:rPr>
              <w:t>10</w:t>
            </w:r>
          </w:p>
        </w:tc>
        <w:tc>
          <w:tcPr>
            <w:tcW w:w="1038" w:type="dxa"/>
            <w:shd w:val="clear" w:color="auto" w:fill="EAEEF1"/>
            <w:tcMar>
              <w:top w:w="60" w:type="dxa"/>
              <w:left w:w="60" w:type="dxa"/>
              <w:bottom w:w="60" w:type="dxa"/>
              <w:right w:w="60" w:type="dxa"/>
            </w:tcMar>
          </w:tcPr>
          <w:p w14:paraId="01135CE9"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b/>
                <w:bCs/>
                <w:sz w:val="22"/>
                <w:szCs w:val="22"/>
              </w:rPr>
              <w:t>20</w:t>
            </w:r>
          </w:p>
        </w:tc>
        <w:tc>
          <w:tcPr>
            <w:tcW w:w="1038" w:type="dxa"/>
            <w:shd w:val="clear" w:color="auto" w:fill="EAEEF1"/>
            <w:tcMar>
              <w:top w:w="60" w:type="dxa"/>
              <w:left w:w="60" w:type="dxa"/>
              <w:bottom w:w="60" w:type="dxa"/>
              <w:right w:w="60" w:type="dxa"/>
            </w:tcMar>
          </w:tcPr>
          <w:p w14:paraId="5EE015CF"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b/>
                <w:bCs/>
                <w:sz w:val="22"/>
                <w:szCs w:val="22"/>
              </w:rPr>
              <w:t>30</w:t>
            </w:r>
          </w:p>
        </w:tc>
        <w:tc>
          <w:tcPr>
            <w:tcW w:w="1038" w:type="dxa"/>
            <w:shd w:val="clear" w:color="auto" w:fill="EAEEF1"/>
            <w:tcMar>
              <w:top w:w="60" w:type="dxa"/>
              <w:left w:w="60" w:type="dxa"/>
              <w:bottom w:w="60" w:type="dxa"/>
              <w:right w:w="60" w:type="dxa"/>
            </w:tcMar>
          </w:tcPr>
          <w:p w14:paraId="55B184C2"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b/>
                <w:bCs/>
                <w:sz w:val="22"/>
                <w:szCs w:val="22"/>
              </w:rPr>
              <w:t>40</w:t>
            </w:r>
          </w:p>
        </w:tc>
        <w:tc>
          <w:tcPr>
            <w:tcW w:w="1038" w:type="dxa"/>
            <w:shd w:val="clear" w:color="auto" w:fill="EAEEF1"/>
            <w:tcMar>
              <w:top w:w="60" w:type="dxa"/>
              <w:left w:w="60" w:type="dxa"/>
              <w:bottom w:w="60" w:type="dxa"/>
              <w:right w:w="60" w:type="dxa"/>
            </w:tcMar>
          </w:tcPr>
          <w:p w14:paraId="163EF4A0"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b/>
                <w:bCs/>
                <w:sz w:val="22"/>
                <w:szCs w:val="22"/>
              </w:rPr>
              <w:t>50</w:t>
            </w:r>
          </w:p>
        </w:tc>
        <w:tc>
          <w:tcPr>
            <w:tcW w:w="1038" w:type="dxa"/>
            <w:shd w:val="clear" w:color="auto" w:fill="EAEEF1"/>
            <w:tcMar>
              <w:top w:w="60" w:type="dxa"/>
              <w:left w:w="60" w:type="dxa"/>
              <w:bottom w:w="60" w:type="dxa"/>
              <w:right w:w="60" w:type="dxa"/>
            </w:tcMar>
          </w:tcPr>
          <w:p w14:paraId="083B520E"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b/>
                <w:bCs/>
                <w:sz w:val="22"/>
                <w:szCs w:val="22"/>
              </w:rPr>
              <w:t>60</w:t>
            </w:r>
          </w:p>
        </w:tc>
        <w:tc>
          <w:tcPr>
            <w:tcW w:w="1038" w:type="dxa"/>
            <w:shd w:val="clear" w:color="auto" w:fill="EAEEF1"/>
            <w:tcMar>
              <w:top w:w="60" w:type="dxa"/>
              <w:left w:w="60" w:type="dxa"/>
              <w:bottom w:w="60" w:type="dxa"/>
              <w:right w:w="60" w:type="dxa"/>
            </w:tcMar>
          </w:tcPr>
          <w:p w14:paraId="66C791D7"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b/>
                <w:bCs/>
                <w:sz w:val="22"/>
                <w:szCs w:val="22"/>
              </w:rPr>
              <w:t>70</w:t>
            </w:r>
          </w:p>
        </w:tc>
      </w:tr>
      <w:tr w:rsidR="004E3CAC" w:rsidRPr="00161360" w14:paraId="66B0832D" w14:textId="77777777">
        <w:tc>
          <w:tcPr>
            <w:tcW w:w="1038" w:type="dxa"/>
            <w:tcMar>
              <w:top w:w="60" w:type="dxa"/>
              <w:left w:w="60" w:type="dxa"/>
              <w:bottom w:w="60" w:type="dxa"/>
              <w:right w:w="60" w:type="dxa"/>
            </w:tcMar>
          </w:tcPr>
          <w:p w14:paraId="64CE04D3"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SpO₂</w:t>
            </w:r>
          </w:p>
        </w:tc>
        <w:tc>
          <w:tcPr>
            <w:tcW w:w="1038" w:type="dxa"/>
            <w:tcMar>
              <w:top w:w="60" w:type="dxa"/>
              <w:left w:w="60" w:type="dxa"/>
              <w:bottom w:w="60" w:type="dxa"/>
              <w:right w:w="60" w:type="dxa"/>
            </w:tcMar>
          </w:tcPr>
          <w:p w14:paraId="4E9BEFA3"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4F452A03"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2B69A137"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0E5A7295"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3EEA6910"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41CD67B9"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0011070B"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2847D484" w14:textId="77777777" w:rsidR="004E3CAC" w:rsidRPr="00161360" w:rsidRDefault="004E3CAC" w:rsidP="00181DFF">
            <w:pPr>
              <w:spacing w:line="276" w:lineRule="auto"/>
              <w:rPr>
                <w:rFonts w:ascii="Archivo ExtraLight" w:hAnsi="Archivo ExtraLight" w:cs="Archivo ExtraLight"/>
                <w:sz w:val="22"/>
                <w:szCs w:val="22"/>
              </w:rPr>
            </w:pPr>
          </w:p>
        </w:tc>
      </w:tr>
      <w:tr w:rsidR="004E3CAC" w:rsidRPr="00161360" w14:paraId="32DD06FD" w14:textId="77777777">
        <w:tc>
          <w:tcPr>
            <w:tcW w:w="1038" w:type="dxa"/>
            <w:tcMar>
              <w:top w:w="60" w:type="dxa"/>
              <w:left w:w="60" w:type="dxa"/>
              <w:bottom w:w="60" w:type="dxa"/>
              <w:right w:w="60" w:type="dxa"/>
            </w:tcMar>
          </w:tcPr>
          <w:p w14:paraId="1CA537CE"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FC</w:t>
            </w:r>
          </w:p>
        </w:tc>
        <w:tc>
          <w:tcPr>
            <w:tcW w:w="1038" w:type="dxa"/>
            <w:tcMar>
              <w:top w:w="60" w:type="dxa"/>
              <w:left w:w="60" w:type="dxa"/>
              <w:bottom w:w="60" w:type="dxa"/>
              <w:right w:w="60" w:type="dxa"/>
            </w:tcMar>
          </w:tcPr>
          <w:p w14:paraId="095AA73E"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75CE9AFC"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121CAEDC"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716CE464"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7982D28D"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2AD45FBD"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30699A85"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5E59B762" w14:textId="77777777" w:rsidR="004E3CAC" w:rsidRPr="00161360" w:rsidRDefault="004E3CAC" w:rsidP="00181DFF">
            <w:pPr>
              <w:spacing w:line="276" w:lineRule="auto"/>
              <w:rPr>
                <w:rFonts w:ascii="Archivo ExtraLight" w:hAnsi="Archivo ExtraLight" w:cs="Archivo ExtraLight"/>
                <w:sz w:val="22"/>
                <w:szCs w:val="22"/>
              </w:rPr>
            </w:pPr>
          </w:p>
        </w:tc>
      </w:tr>
      <w:tr w:rsidR="004E3CAC" w:rsidRPr="00161360" w14:paraId="236B3265" w14:textId="77777777">
        <w:tc>
          <w:tcPr>
            <w:tcW w:w="1038" w:type="dxa"/>
            <w:tcMar>
              <w:top w:w="60" w:type="dxa"/>
              <w:left w:w="60" w:type="dxa"/>
              <w:bottom w:w="60" w:type="dxa"/>
              <w:right w:w="60" w:type="dxa"/>
            </w:tcMar>
          </w:tcPr>
          <w:p w14:paraId="6461F053"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TA</w:t>
            </w:r>
          </w:p>
        </w:tc>
        <w:tc>
          <w:tcPr>
            <w:tcW w:w="1038" w:type="dxa"/>
            <w:tcMar>
              <w:top w:w="60" w:type="dxa"/>
              <w:left w:w="60" w:type="dxa"/>
              <w:bottom w:w="60" w:type="dxa"/>
              <w:right w:w="60" w:type="dxa"/>
            </w:tcMar>
          </w:tcPr>
          <w:p w14:paraId="1C4D86E2"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653C40B3"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538B007F"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169EF071"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6A7ACC88"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04056111"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5D696C9E"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3078C004" w14:textId="77777777" w:rsidR="004E3CAC" w:rsidRPr="00161360" w:rsidRDefault="004E3CAC" w:rsidP="00181DFF">
            <w:pPr>
              <w:spacing w:line="276" w:lineRule="auto"/>
              <w:rPr>
                <w:rFonts w:ascii="Archivo ExtraLight" w:hAnsi="Archivo ExtraLight" w:cs="Archivo ExtraLight"/>
                <w:sz w:val="22"/>
                <w:szCs w:val="22"/>
              </w:rPr>
            </w:pPr>
          </w:p>
        </w:tc>
      </w:tr>
      <w:tr w:rsidR="004E3CAC" w:rsidRPr="00161360" w14:paraId="6DAFE821" w14:textId="77777777">
        <w:tc>
          <w:tcPr>
            <w:tcW w:w="1038" w:type="dxa"/>
            <w:tcMar>
              <w:top w:w="60" w:type="dxa"/>
              <w:left w:w="60" w:type="dxa"/>
              <w:bottom w:w="60" w:type="dxa"/>
              <w:right w:w="60" w:type="dxa"/>
            </w:tcMar>
          </w:tcPr>
          <w:p w14:paraId="62791778" w14:textId="77777777" w:rsidR="004E3CAC" w:rsidRPr="00161360" w:rsidRDefault="00997BC4" w:rsidP="00181DFF">
            <w:pPr>
              <w:spacing w:line="276" w:lineRule="auto"/>
              <w:rPr>
                <w:rFonts w:ascii="Archivo ExtraLight" w:hAnsi="Archivo ExtraLight" w:cs="Archivo ExtraLight"/>
                <w:sz w:val="22"/>
                <w:szCs w:val="22"/>
              </w:rPr>
            </w:pPr>
            <w:r w:rsidRPr="00161360">
              <w:rPr>
                <w:rFonts w:ascii="Archivo ExtraLight" w:hAnsi="Archivo ExtraLight" w:cs="Archivo ExtraLight"/>
                <w:sz w:val="22"/>
                <w:szCs w:val="22"/>
              </w:rPr>
              <w:t>Nivel sedación</w:t>
            </w:r>
          </w:p>
        </w:tc>
        <w:tc>
          <w:tcPr>
            <w:tcW w:w="1038" w:type="dxa"/>
            <w:tcMar>
              <w:top w:w="60" w:type="dxa"/>
              <w:left w:w="60" w:type="dxa"/>
              <w:bottom w:w="60" w:type="dxa"/>
              <w:right w:w="60" w:type="dxa"/>
            </w:tcMar>
          </w:tcPr>
          <w:p w14:paraId="5A863B12"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6A9511A1"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73D2437F"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6474628F"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5FF5F8DD"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7A592C38"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4A025CCD" w14:textId="77777777" w:rsidR="004E3CAC" w:rsidRPr="00161360" w:rsidRDefault="004E3CAC" w:rsidP="00181DFF">
            <w:pPr>
              <w:spacing w:line="276" w:lineRule="auto"/>
              <w:rPr>
                <w:rFonts w:ascii="Archivo ExtraLight" w:hAnsi="Archivo ExtraLight" w:cs="Archivo ExtraLight"/>
                <w:sz w:val="22"/>
                <w:szCs w:val="22"/>
              </w:rPr>
            </w:pPr>
          </w:p>
        </w:tc>
        <w:tc>
          <w:tcPr>
            <w:tcW w:w="1038" w:type="dxa"/>
            <w:tcMar>
              <w:top w:w="60" w:type="dxa"/>
              <w:left w:w="60" w:type="dxa"/>
              <w:bottom w:w="60" w:type="dxa"/>
              <w:right w:w="60" w:type="dxa"/>
            </w:tcMar>
          </w:tcPr>
          <w:p w14:paraId="57AEF312" w14:textId="77777777" w:rsidR="004E3CAC" w:rsidRPr="00161360" w:rsidRDefault="004E3CAC" w:rsidP="00181DFF">
            <w:pPr>
              <w:spacing w:line="276" w:lineRule="auto"/>
              <w:rPr>
                <w:rFonts w:ascii="Archivo ExtraLight" w:hAnsi="Archivo ExtraLight" w:cs="Archivo ExtraLight"/>
                <w:sz w:val="22"/>
                <w:szCs w:val="22"/>
              </w:rPr>
            </w:pPr>
          </w:p>
        </w:tc>
      </w:tr>
    </w:tbl>
    <w:p w14:paraId="10693E17" w14:textId="77777777" w:rsidR="004E3CAC" w:rsidRPr="00161360" w:rsidRDefault="004E3CAC" w:rsidP="00181DFF">
      <w:pPr>
        <w:spacing w:after="160" w:line="276" w:lineRule="auto"/>
        <w:rPr>
          <w:rFonts w:ascii="Archivo ExtraLight" w:hAnsi="Archivo ExtraLight" w:cs="Archivo ExtraLight"/>
          <w:sz w:val="22"/>
          <w:szCs w:val="22"/>
        </w:rPr>
      </w:pPr>
    </w:p>
    <w:p w14:paraId="307FB4D3" w14:textId="77777777" w:rsidR="008840D7"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sz w:val="22"/>
          <w:szCs w:val="22"/>
        </w:rPr>
        <w:t xml:space="preserve">Medicación:   </w:t>
      </w:r>
    </w:p>
    <w:p w14:paraId="2E48CC88"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sz w:val="22"/>
          <w:szCs w:val="22"/>
        </w:rPr>
        <w:t>Propofol: ________ mg   Midazolam: ________ mg   Remimazolam: ________ mg   Fentanilo: ________ mcg Atropina: ________ mg   Flumazenilo: ________   Naloxona: ________   Otros: _______________</w:t>
      </w:r>
    </w:p>
    <w:p w14:paraId="39DB5AFE" w14:textId="77777777" w:rsidR="004E3CAC" w:rsidRPr="00C0342B" w:rsidRDefault="00997BC4" w:rsidP="00181DFF">
      <w:pPr>
        <w:pStyle w:val="Ttulo3"/>
        <w:spacing w:before="220" w:after="100" w:line="276" w:lineRule="auto"/>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Incidencias</w:t>
      </w:r>
    </w:p>
    <w:p w14:paraId="2F3E9718"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Desaturación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Hipotensión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Hipertensión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Bradicardia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Taquicardia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Convulsiones</w:t>
      </w:r>
    </w:p>
    <w:p w14:paraId="0F373EE0"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Times New Roman" w:hAnsi="Times New Roman" w:cs="Times New Roman"/>
          <w:sz w:val="22"/>
          <w:szCs w:val="22"/>
        </w:rPr>
        <w:lastRenderedPageBreak/>
        <w:t>□</w:t>
      </w:r>
      <w:r w:rsidRPr="00161360">
        <w:rPr>
          <w:rFonts w:ascii="Archivo ExtraLight" w:hAnsi="Archivo ExtraLight" w:cs="Archivo ExtraLight"/>
          <w:sz w:val="22"/>
          <w:szCs w:val="22"/>
        </w:rPr>
        <w:t xml:space="preserve"> Complicaciones endoscópicas: _________________________________________________________________</w:t>
      </w:r>
    </w:p>
    <w:p w14:paraId="5573D1F8"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sz w:val="22"/>
          <w:szCs w:val="22"/>
        </w:rPr>
        <w:t xml:space="preserve">Maniobras de recuperación: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Posicionales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Aumento O₂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Mascarilla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Mascarilla laríngea</w:t>
      </w:r>
    </w:p>
    <w:p w14:paraId="574AF295"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Intubación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Atropina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Adrenalina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Flumazenilo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Naloxona   </w:t>
      </w: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Suspensión PPF</w:t>
      </w:r>
    </w:p>
    <w:p w14:paraId="71490FA6" w14:textId="77777777" w:rsidR="004E3CAC" w:rsidRPr="00C0342B" w:rsidRDefault="00997BC4" w:rsidP="00181DFF">
      <w:pPr>
        <w:pStyle w:val="Ttulo3"/>
        <w:spacing w:before="220" w:after="100" w:line="276" w:lineRule="auto"/>
        <w:rPr>
          <w:rFonts w:ascii="Archivo ExtraLight" w:hAnsi="Archivo ExtraLight" w:cs="Archivo ExtraLight"/>
          <w:color w:val="040C55"/>
          <w:sz w:val="22"/>
          <w:szCs w:val="22"/>
        </w:rPr>
      </w:pPr>
      <w:r w:rsidRPr="00C0342B">
        <w:rPr>
          <w:rFonts w:ascii="Archivo ExtraLight" w:hAnsi="Archivo ExtraLight" w:cs="Archivo ExtraLight"/>
          <w:b/>
          <w:bCs/>
          <w:i/>
          <w:iCs/>
          <w:color w:val="040C55"/>
          <w:sz w:val="22"/>
          <w:szCs w:val="22"/>
        </w:rPr>
        <w:t>Postexploración</w:t>
      </w:r>
    </w:p>
    <w:p w14:paraId="1AEA4520"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sz w:val="22"/>
          <w:szCs w:val="22"/>
        </w:rPr>
        <w:t>Hora llegada a recuperación: __________   Escala de Aldrete: ________ / 10   Hora de alta: __________</w:t>
      </w:r>
    </w:p>
    <w:p w14:paraId="286A8CCE"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Times New Roman" w:hAnsi="Times New Roman" w:cs="Times New Roman"/>
          <w:sz w:val="22"/>
          <w:szCs w:val="22"/>
        </w:rPr>
        <w:t>□</w:t>
      </w:r>
      <w:r w:rsidRPr="00161360">
        <w:rPr>
          <w:rFonts w:ascii="Archivo ExtraLight" w:hAnsi="Archivo ExtraLight" w:cs="Archivo ExtraLight"/>
          <w:sz w:val="22"/>
          <w:szCs w:val="22"/>
        </w:rPr>
        <w:t xml:space="preserve"> Información sobre restricción de conducción y toma de decisiones durante 8 horas entregada al paciente</w:t>
      </w:r>
    </w:p>
    <w:p w14:paraId="1AA88CCF"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sz w:val="22"/>
          <w:szCs w:val="22"/>
        </w:rPr>
        <w:t>Médico: _________________________________   Enfermero/a: _________________________________</w:t>
      </w:r>
    </w:p>
    <w:p w14:paraId="4F2EB019" w14:textId="77777777" w:rsidR="004E3CAC" w:rsidRPr="00161360" w:rsidRDefault="00997BC4" w:rsidP="00181DFF">
      <w:pPr>
        <w:spacing w:after="160" w:line="276" w:lineRule="auto"/>
        <w:rPr>
          <w:rFonts w:ascii="Archivo ExtraLight" w:hAnsi="Archivo ExtraLight" w:cs="Archivo ExtraLight"/>
          <w:sz w:val="22"/>
          <w:szCs w:val="22"/>
        </w:rPr>
      </w:pPr>
      <w:r w:rsidRPr="00161360">
        <w:rPr>
          <w:rFonts w:ascii="Archivo ExtraLight" w:hAnsi="Archivo ExtraLight" w:cs="Archivo ExtraLight"/>
          <w:sz w:val="22"/>
          <w:szCs w:val="22"/>
        </w:rPr>
        <w:t>Fecha: __________</w:t>
      </w:r>
    </w:p>
    <w:sectPr w:rsidR="004E3CAC" w:rsidRPr="00161360">
      <w:headerReference w:type="default" r:id="rId11"/>
      <w:footerReference w:type="default" r:id="rId12"/>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030B6" w14:textId="77777777" w:rsidR="00997BC4" w:rsidRDefault="00997BC4">
      <w:r>
        <w:separator/>
      </w:r>
    </w:p>
  </w:endnote>
  <w:endnote w:type="continuationSeparator" w:id="0">
    <w:p w14:paraId="3A94142D" w14:textId="77777777" w:rsidR="00997BC4" w:rsidRDefault="00997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chivo ExtraLight">
    <w:panose1 w:val="00000000000000000000"/>
    <w:charset w:val="00"/>
    <w:family w:val="auto"/>
    <w:pitch w:val="variable"/>
    <w:sig w:usb0="A00000FF" w:usb1="500020EB" w:usb2="00000008" w:usb3="00000000" w:csb0="000001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225EE" w14:textId="77777777" w:rsidR="004E3CAC" w:rsidRDefault="00997BC4">
    <w:pPr>
      <w:jc w:val="center"/>
    </w:pPr>
    <w:r>
      <w:rPr>
        <w:color w:val="5A5A5A"/>
        <w:sz w:val="16"/>
        <w:szCs w:val="16"/>
      </w:rPr>
      <w:t xml:space="preserve">Página </w:t>
    </w:r>
    <w:r>
      <w:rPr>
        <w:color w:val="5A5A5A"/>
        <w:sz w:val="16"/>
        <w:szCs w:val="16"/>
      </w:rPr>
      <w:fldChar w:fldCharType="begin"/>
    </w:r>
    <w:r>
      <w:rPr>
        <w:color w:val="5A5A5A"/>
        <w:sz w:val="16"/>
        <w:szCs w:val="16"/>
      </w:rPr>
      <w:instrText>PAGE</w:instrText>
    </w:r>
    <w:r>
      <w:rPr>
        <w:color w:val="5A5A5A"/>
        <w:sz w:val="16"/>
        <w:szCs w:val="16"/>
      </w:rPr>
      <w:fldChar w:fldCharType="separate"/>
    </w:r>
    <w:r w:rsidR="00884406">
      <w:rPr>
        <w:noProof/>
        <w:color w:val="5A5A5A"/>
        <w:sz w:val="16"/>
        <w:szCs w:val="16"/>
      </w:rPr>
      <w:t>1</w:t>
    </w:r>
    <w:r>
      <w:rPr>
        <w:color w:val="5A5A5A"/>
        <w:sz w:val="16"/>
        <w:szCs w:val="16"/>
      </w:rPr>
      <w:fldChar w:fldCharType="end"/>
    </w:r>
    <w:r>
      <w:rPr>
        <w:color w:val="5A5A5A"/>
        <w:sz w:val="16"/>
        <w:szCs w:val="16"/>
      </w:rPr>
      <w:t xml:space="preserve"> de </w:t>
    </w:r>
    <w:r>
      <w:rPr>
        <w:color w:val="5A5A5A"/>
        <w:sz w:val="16"/>
        <w:szCs w:val="16"/>
      </w:rPr>
      <w:fldChar w:fldCharType="begin"/>
    </w:r>
    <w:r>
      <w:rPr>
        <w:color w:val="5A5A5A"/>
        <w:sz w:val="16"/>
        <w:szCs w:val="16"/>
      </w:rPr>
      <w:instrText>NUMPAGES</w:instrText>
    </w:r>
    <w:r>
      <w:rPr>
        <w:color w:val="5A5A5A"/>
        <w:sz w:val="16"/>
        <w:szCs w:val="16"/>
      </w:rPr>
      <w:fldChar w:fldCharType="separate"/>
    </w:r>
    <w:r w:rsidR="00884406">
      <w:rPr>
        <w:noProof/>
        <w:color w:val="5A5A5A"/>
        <w:sz w:val="16"/>
        <w:szCs w:val="16"/>
      </w:rPr>
      <w:t>2</w:t>
    </w:r>
    <w:r>
      <w:rPr>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07157" w14:textId="77777777" w:rsidR="00997BC4" w:rsidRDefault="00997BC4">
      <w:r>
        <w:separator/>
      </w:r>
    </w:p>
  </w:footnote>
  <w:footnote w:type="continuationSeparator" w:id="0">
    <w:p w14:paraId="2977E89B" w14:textId="77777777" w:rsidR="00997BC4" w:rsidRDefault="00997B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83395" w14:textId="77777777" w:rsidR="00AC143E" w:rsidRDefault="00AC143E">
    <w:pPr>
      <w:jc w:val="right"/>
      <w:rPr>
        <w:color w:val="5A5A5A"/>
        <w:sz w:val="16"/>
        <w:szCs w:val="16"/>
      </w:rPr>
    </w:pPr>
  </w:p>
  <w:p w14:paraId="50F6C977" w14:textId="77777777" w:rsidR="00AC143E" w:rsidRDefault="00AC143E">
    <w:pPr>
      <w:jc w:val="right"/>
      <w:rPr>
        <w:color w:val="5A5A5A"/>
        <w:sz w:val="16"/>
        <w:szCs w:val="16"/>
      </w:rPr>
    </w:pPr>
  </w:p>
  <w:p w14:paraId="4A97049D" w14:textId="6CDF48B2" w:rsidR="00AC143E" w:rsidRDefault="00AC143E" w:rsidP="00AC143E">
    <w:pPr>
      <w:jc w:val="right"/>
      <w:rPr>
        <w:color w:val="5A5A5A"/>
        <w:sz w:val="16"/>
        <w:szCs w:val="16"/>
      </w:rPr>
    </w:pPr>
    <w:r>
      <w:rPr>
        <w:noProof/>
        <w:color w:val="5A5A5A"/>
        <w:sz w:val="16"/>
        <w:szCs w:val="16"/>
      </w:rPr>
      <w:drawing>
        <wp:anchor distT="0" distB="0" distL="114300" distR="114300" simplePos="0" relativeHeight="251658240" behindDoc="1" locked="0" layoutInCell="1" allowOverlap="1" wp14:anchorId="0F8F65D4" wp14:editId="45F655F3">
          <wp:simplePos x="0" y="0"/>
          <wp:positionH relativeFrom="margin">
            <wp:align>left</wp:align>
          </wp:positionH>
          <wp:positionV relativeFrom="paragraph">
            <wp:posOffset>11430</wp:posOffset>
          </wp:positionV>
          <wp:extent cx="1760660" cy="342900"/>
          <wp:effectExtent l="0" t="0" r="0" b="0"/>
          <wp:wrapNone/>
          <wp:docPr id="14726623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0660" cy="342900"/>
                  </a:xfrm>
                  <a:prstGeom prst="rect">
                    <a:avLst/>
                  </a:prstGeom>
                  <a:noFill/>
                  <a:ln>
                    <a:noFill/>
                  </a:ln>
                </pic:spPr>
              </pic:pic>
            </a:graphicData>
          </a:graphic>
        </wp:anchor>
      </w:drawing>
    </w:r>
  </w:p>
  <w:p w14:paraId="0AFFBD0C" w14:textId="3BD74D08" w:rsidR="004E3CAC" w:rsidRDefault="00997BC4">
    <w:pPr>
      <w:jc w:val="right"/>
      <w:rPr>
        <w:color w:val="5A5A5A"/>
        <w:sz w:val="16"/>
        <w:szCs w:val="16"/>
      </w:rPr>
    </w:pPr>
    <w:r>
      <w:rPr>
        <w:color w:val="5A5A5A"/>
        <w:sz w:val="16"/>
        <w:szCs w:val="16"/>
      </w:rPr>
      <w:t>Protocolo marco de sedación profunda (plantilla) — versión 3.0</w:t>
    </w:r>
  </w:p>
  <w:p w14:paraId="6FC38BCE" w14:textId="77777777" w:rsidR="00AC143E" w:rsidRDefault="00AC143E">
    <w:pPr>
      <w:jc w:val="right"/>
      <w:rPr>
        <w:color w:val="5A5A5A"/>
        <w:sz w:val="16"/>
        <w:szCs w:val="16"/>
      </w:rPr>
    </w:pPr>
  </w:p>
  <w:p w14:paraId="1BA218F3" w14:textId="77777777" w:rsidR="00AC143E" w:rsidRDefault="00AC143E">
    <w:pPr>
      <w:jc w:val="right"/>
      <w:rPr>
        <w:color w:val="5A5A5A"/>
        <w:sz w:val="16"/>
        <w:szCs w:val="16"/>
      </w:rPr>
    </w:pPr>
  </w:p>
  <w:p w14:paraId="0B914732" w14:textId="77777777" w:rsidR="00AC143E" w:rsidRDefault="00AC143E">
    <w:pPr>
      <w:jc w:val="right"/>
      <w:rPr>
        <w:color w:val="5A5A5A"/>
        <w:sz w:val="16"/>
        <w:szCs w:val="16"/>
      </w:rPr>
    </w:pPr>
  </w:p>
  <w:p w14:paraId="4011D331" w14:textId="77777777" w:rsidR="00AC143E" w:rsidRDefault="00AC143E">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01658A"/>
    <w:multiLevelType w:val="hybridMultilevel"/>
    <w:tmpl w:val="5BB83668"/>
    <w:lvl w:ilvl="0" w:tplc="BA1C5450">
      <w:start w:val="1"/>
      <w:numFmt w:val="bullet"/>
      <w:lvlText w:val="•"/>
      <w:lvlJc w:val="left"/>
      <w:pPr>
        <w:ind w:left="420" w:hanging="260"/>
      </w:pPr>
    </w:lvl>
    <w:lvl w:ilvl="1" w:tplc="F7B6927E">
      <w:start w:val="1"/>
      <w:numFmt w:val="bullet"/>
      <w:lvlText w:val="–"/>
      <w:lvlJc w:val="left"/>
      <w:pPr>
        <w:ind w:left="820" w:hanging="260"/>
      </w:pPr>
    </w:lvl>
    <w:lvl w:ilvl="2" w:tplc="52B08D08">
      <w:numFmt w:val="decimal"/>
      <w:lvlText w:val=""/>
      <w:lvlJc w:val="left"/>
    </w:lvl>
    <w:lvl w:ilvl="3" w:tplc="CEA64A80">
      <w:numFmt w:val="decimal"/>
      <w:lvlText w:val=""/>
      <w:lvlJc w:val="left"/>
    </w:lvl>
    <w:lvl w:ilvl="4" w:tplc="8C52D166">
      <w:numFmt w:val="decimal"/>
      <w:lvlText w:val=""/>
      <w:lvlJc w:val="left"/>
    </w:lvl>
    <w:lvl w:ilvl="5" w:tplc="ED962056">
      <w:numFmt w:val="decimal"/>
      <w:lvlText w:val=""/>
      <w:lvlJc w:val="left"/>
    </w:lvl>
    <w:lvl w:ilvl="6" w:tplc="D3F86068">
      <w:numFmt w:val="decimal"/>
      <w:lvlText w:val=""/>
      <w:lvlJc w:val="left"/>
    </w:lvl>
    <w:lvl w:ilvl="7" w:tplc="CBA2A60C">
      <w:numFmt w:val="decimal"/>
      <w:lvlText w:val=""/>
      <w:lvlJc w:val="left"/>
    </w:lvl>
    <w:lvl w:ilvl="8" w:tplc="C5EC8ACA">
      <w:numFmt w:val="decimal"/>
      <w:lvlText w:val=""/>
      <w:lvlJc w:val="left"/>
    </w:lvl>
  </w:abstractNum>
  <w:abstractNum w:abstractNumId="1" w15:restartNumberingAfterBreak="0">
    <w:nsid w:val="49D65412"/>
    <w:multiLevelType w:val="hybridMultilevel"/>
    <w:tmpl w:val="1E121A8C"/>
    <w:lvl w:ilvl="0" w:tplc="BFA4AEDE">
      <w:start w:val="1"/>
      <w:numFmt w:val="bullet"/>
      <w:lvlText w:val="●"/>
      <w:lvlJc w:val="left"/>
      <w:pPr>
        <w:ind w:left="720" w:hanging="360"/>
      </w:pPr>
    </w:lvl>
    <w:lvl w:ilvl="1" w:tplc="31A87B16">
      <w:start w:val="1"/>
      <w:numFmt w:val="bullet"/>
      <w:lvlText w:val="○"/>
      <w:lvlJc w:val="left"/>
      <w:pPr>
        <w:ind w:left="1440" w:hanging="360"/>
      </w:pPr>
    </w:lvl>
    <w:lvl w:ilvl="2" w:tplc="7486B394">
      <w:start w:val="1"/>
      <w:numFmt w:val="bullet"/>
      <w:lvlText w:val="■"/>
      <w:lvlJc w:val="left"/>
      <w:pPr>
        <w:ind w:left="2160" w:hanging="360"/>
      </w:pPr>
    </w:lvl>
    <w:lvl w:ilvl="3" w:tplc="E77E71B0">
      <w:start w:val="1"/>
      <w:numFmt w:val="bullet"/>
      <w:lvlText w:val="●"/>
      <w:lvlJc w:val="left"/>
      <w:pPr>
        <w:ind w:left="2880" w:hanging="360"/>
      </w:pPr>
    </w:lvl>
    <w:lvl w:ilvl="4" w:tplc="0FCE935A">
      <w:start w:val="1"/>
      <w:numFmt w:val="bullet"/>
      <w:lvlText w:val="○"/>
      <w:lvlJc w:val="left"/>
      <w:pPr>
        <w:ind w:left="3600" w:hanging="360"/>
      </w:pPr>
    </w:lvl>
    <w:lvl w:ilvl="5" w:tplc="6A4A085E">
      <w:start w:val="1"/>
      <w:numFmt w:val="bullet"/>
      <w:lvlText w:val="■"/>
      <w:lvlJc w:val="left"/>
      <w:pPr>
        <w:ind w:left="4320" w:hanging="360"/>
      </w:pPr>
    </w:lvl>
    <w:lvl w:ilvl="6" w:tplc="3F2A7BE2">
      <w:start w:val="1"/>
      <w:numFmt w:val="bullet"/>
      <w:lvlText w:val="●"/>
      <w:lvlJc w:val="left"/>
      <w:pPr>
        <w:ind w:left="5040" w:hanging="360"/>
      </w:pPr>
    </w:lvl>
    <w:lvl w:ilvl="7" w:tplc="2C2A9C68">
      <w:start w:val="1"/>
      <w:numFmt w:val="bullet"/>
      <w:lvlText w:val="●"/>
      <w:lvlJc w:val="left"/>
      <w:pPr>
        <w:ind w:left="5760" w:hanging="360"/>
      </w:pPr>
    </w:lvl>
    <w:lvl w:ilvl="8" w:tplc="E49CB29E">
      <w:start w:val="1"/>
      <w:numFmt w:val="bullet"/>
      <w:lvlText w:val="●"/>
      <w:lvlJc w:val="left"/>
      <w:pPr>
        <w:ind w:left="6480" w:hanging="360"/>
      </w:pPr>
    </w:lvl>
  </w:abstractNum>
  <w:num w:numId="1" w16cid:durableId="1921595895">
    <w:abstractNumId w:val="1"/>
    <w:lvlOverride w:ilvl="0">
      <w:startOverride w:val="1"/>
    </w:lvlOverride>
  </w:num>
  <w:num w:numId="2" w16cid:durableId="16778083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CAC"/>
    <w:rsid w:val="00002113"/>
    <w:rsid w:val="000675DF"/>
    <w:rsid w:val="0008531F"/>
    <w:rsid w:val="000E5D88"/>
    <w:rsid w:val="000F456B"/>
    <w:rsid w:val="00100B14"/>
    <w:rsid w:val="00144B14"/>
    <w:rsid w:val="00161360"/>
    <w:rsid w:val="00181DFF"/>
    <w:rsid w:val="00253192"/>
    <w:rsid w:val="002F6716"/>
    <w:rsid w:val="00426BAC"/>
    <w:rsid w:val="0045617D"/>
    <w:rsid w:val="004B299D"/>
    <w:rsid w:val="004D1113"/>
    <w:rsid w:val="004E3CAC"/>
    <w:rsid w:val="00506542"/>
    <w:rsid w:val="005210B8"/>
    <w:rsid w:val="00555B33"/>
    <w:rsid w:val="00596357"/>
    <w:rsid w:val="005A34AA"/>
    <w:rsid w:val="00604DEC"/>
    <w:rsid w:val="00651E59"/>
    <w:rsid w:val="006B4EDA"/>
    <w:rsid w:val="006E2724"/>
    <w:rsid w:val="0071349F"/>
    <w:rsid w:val="00721980"/>
    <w:rsid w:val="00736DCF"/>
    <w:rsid w:val="0074471E"/>
    <w:rsid w:val="007B42A0"/>
    <w:rsid w:val="00833063"/>
    <w:rsid w:val="0085773E"/>
    <w:rsid w:val="008840D7"/>
    <w:rsid w:val="00884406"/>
    <w:rsid w:val="008A0463"/>
    <w:rsid w:val="009006E2"/>
    <w:rsid w:val="00944948"/>
    <w:rsid w:val="009831FF"/>
    <w:rsid w:val="00997BC4"/>
    <w:rsid w:val="00A04383"/>
    <w:rsid w:val="00A40B16"/>
    <w:rsid w:val="00AC143E"/>
    <w:rsid w:val="00B124F5"/>
    <w:rsid w:val="00B457A3"/>
    <w:rsid w:val="00B556C2"/>
    <w:rsid w:val="00BE2024"/>
    <w:rsid w:val="00BF529F"/>
    <w:rsid w:val="00C0342B"/>
    <w:rsid w:val="00C74DC4"/>
    <w:rsid w:val="00C91EE9"/>
    <w:rsid w:val="00CA17C0"/>
    <w:rsid w:val="00D00821"/>
    <w:rsid w:val="00D52972"/>
    <w:rsid w:val="00D60B95"/>
    <w:rsid w:val="00E73A43"/>
    <w:rsid w:val="00E75B54"/>
    <w:rsid w:val="00F87B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0EB81"/>
  <w15:docId w15:val="{F47D10D1-0393-DC46-93BB-4C13460DF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884406"/>
    <w:pPr>
      <w:tabs>
        <w:tab w:val="center" w:pos="4252"/>
        <w:tab w:val="right" w:pos="8504"/>
      </w:tabs>
    </w:pPr>
  </w:style>
  <w:style w:type="character" w:customStyle="1" w:styleId="EncabezadoCar">
    <w:name w:val="Encabezado Car"/>
    <w:basedOn w:val="Fuentedeprrafopredeter"/>
    <w:link w:val="Encabezado"/>
    <w:uiPriority w:val="99"/>
    <w:rsid w:val="00884406"/>
  </w:style>
  <w:style w:type="paragraph" w:styleId="Piedepgina">
    <w:name w:val="footer"/>
    <w:basedOn w:val="Normal"/>
    <w:link w:val="PiedepginaCar"/>
    <w:uiPriority w:val="99"/>
    <w:unhideWhenUsed/>
    <w:rsid w:val="00884406"/>
    <w:pPr>
      <w:tabs>
        <w:tab w:val="center" w:pos="4252"/>
        <w:tab w:val="right" w:pos="8504"/>
      </w:tabs>
    </w:pPr>
  </w:style>
  <w:style w:type="character" w:customStyle="1" w:styleId="PiedepginaCar">
    <w:name w:val="Pie de página Car"/>
    <w:basedOn w:val="Fuentedeprrafopredeter"/>
    <w:link w:val="Piedepgina"/>
    <w:uiPriority w:val="99"/>
    <w:rsid w:val="00884406"/>
  </w:style>
  <w:style w:type="paragraph" w:styleId="NormalWeb">
    <w:name w:val="Normal (Web)"/>
    <w:basedOn w:val="Normal"/>
    <w:uiPriority w:val="99"/>
    <w:semiHidden/>
    <w:unhideWhenUsed/>
    <w:rsid w:val="005210B8"/>
    <w:pPr>
      <w:spacing w:before="100" w:beforeAutospacing="1" w:after="100" w:afterAutospacing="1"/>
    </w:pPr>
    <w:rPr>
      <w:rFonts w:ascii="Times New Roman" w:eastAsia="Times New Roman" w:hAnsi="Times New Roman" w:cs="Times New Roman"/>
      <w:sz w:val="24"/>
      <w:szCs w:val="24"/>
    </w:rPr>
  </w:style>
  <w:style w:type="character" w:styleId="Fuerte">
    <w:name w:val="Strong"/>
    <w:basedOn w:val="Fuentedeprrafopredeter"/>
    <w:uiPriority w:val="22"/>
    <w:qFormat/>
    <w:rsid w:val="00651E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25534FCA8B9F447AB776FCD7DB53590" ma:contentTypeVersion="19" ma:contentTypeDescription="Crear nuevo documento." ma:contentTypeScope="" ma:versionID="43183908aaf71123a887e6b2efdda3b3">
  <xsd:schema xmlns:xsd="http://www.w3.org/2001/XMLSchema" xmlns:xs="http://www.w3.org/2001/XMLSchema" xmlns:p="http://schemas.microsoft.com/office/2006/metadata/properties" xmlns:ns2="03616124-831f-43a7-8c1a-9257ba9b031c" xmlns:ns3="87aecb54-40be-4c34-9848-2c505d0a123d" targetNamespace="http://schemas.microsoft.com/office/2006/metadata/properties" ma:root="true" ma:fieldsID="9e5b0e423c968d41014ffa1f925db184" ns2:_="" ns3:_="">
    <xsd:import namespace="03616124-831f-43a7-8c1a-9257ba9b031c"/>
    <xsd:import namespace="87aecb54-40be-4c34-9848-2c505d0a123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6124-831f-43a7-8c1a-9257ba9b031c"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cdc119a8-8031-4e7a-83e2-14e761df7e7a}" ma:internalName="TaxCatchAll" ma:showField="CatchAllData" ma:web="03616124-831f-43a7-8c1a-9257ba9b031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aecb54-40be-4c34-9848-2c505d0a123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5f86da4c-98c9-4f7e-b563-823a269b74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aecb54-40be-4c34-9848-2c505d0a123d">
      <Terms xmlns="http://schemas.microsoft.com/office/infopath/2007/PartnerControls"/>
    </lcf76f155ced4ddcb4097134ff3c332f>
    <TaxCatchAll xmlns="03616124-831f-43a7-8c1a-9257ba9b031c" xsi:nil="true"/>
  </documentManagement>
</p:properties>
</file>

<file path=customXml/itemProps1.xml><?xml version="1.0" encoding="utf-8"?>
<ds:datastoreItem xmlns:ds="http://schemas.openxmlformats.org/officeDocument/2006/customXml" ds:itemID="{3B155440-B3C2-408C-9EE5-45846C4C57FF}">
  <ds:schemaRefs>
    <ds:schemaRef ds:uri="http://schemas.microsoft.com/sharepoint/v3/contenttype/forms"/>
  </ds:schemaRefs>
</ds:datastoreItem>
</file>

<file path=customXml/itemProps2.xml><?xml version="1.0" encoding="utf-8"?>
<ds:datastoreItem xmlns:ds="http://schemas.openxmlformats.org/officeDocument/2006/customXml" ds:itemID="{C268B808-4A01-45EC-9AD2-7FE669D7A7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6124-831f-43a7-8c1a-9257ba9b031c"/>
    <ds:schemaRef ds:uri="87aecb54-40be-4c34-9848-2c505d0a12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AA1676-E636-4931-AB42-58C1AE0E0ACD}">
  <ds:schemaRefs>
    <ds:schemaRef ds:uri="http://schemas.microsoft.com/office/2006/metadata/properties"/>
    <ds:schemaRef ds:uri="http://schemas.microsoft.com/office/infopath/2007/PartnerControls"/>
    <ds:schemaRef ds:uri="87aecb54-40be-4c34-9848-2c505d0a123d"/>
    <ds:schemaRef ds:uri="03616124-831f-43a7-8c1a-9257ba9b031c"/>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18</Pages>
  <Words>5831</Words>
  <Characters>32072</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Arantxa  Perales</cp:lastModifiedBy>
  <cp:revision>26</cp:revision>
  <dcterms:created xsi:type="dcterms:W3CDTF">2026-09-14T15:28:00Z</dcterms:created>
  <dcterms:modified xsi:type="dcterms:W3CDTF">2026-10-22T13:07:00Z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0x010100425534FCA8B9F447AB776FCD7DB53590</vt:lpwstr>
  </property>
  <property fmtid="{D5CDD505-2E9C-101B-9397-08002B2CF9AE}" pid="3" name="MediaServiceImageTags">
    <vt:lpwstr/>
  </property>
</Properties>
</file>